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CA32" w14:textId="77777777" w:rsidR="00BE7779" w:rsidRDefault="00BE7779" w:rsidP="0094746A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</w:pPr>
    </w:p>
    <w:p w14:paraId="4C3FACD1" w14:textId="77777777" w:rsidR="00CF06DB" w:rsidRDefault="00CF06DB" w:rsidP="0094746A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ПОВІДОМЛЕННЯ </w:t>
      </w:r>
    </w:p>
    <w:p w14:paraId="41D5A0CC" w14:textId="376BB0BC" w:rsidR="00F41A9C" w:rsidRDefault="00CF06DB" w:rsidP="0094746A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</w:t>
      </w:r>
      <w:r w:rsidR="00F41A9C" w:rsidRPr="00F41A9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про намір зміни тарифів </w:t>
      </w:r>
      <w:r w:rsidR="009552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>ТОВ «ПОЛІССЯ ЕКО ЕНЕРГО»</w:t>
      </w:r>
      <w:r w:rsidR="00F41A9C" w:rsidRPr="00F41A9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 на теплову енергію, її виробництво, транспортування та постачання, послуг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>и з постачання теплової енергії на 202</w:t>
      </w:r>
      <w:r w:rsidR="00BE777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>-202</w:t>
      </w:r>
      <w:r w:rsidR="00BE777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роки.</w:t>
      </w:r>
    </w:p>
    <w:p w14:paraId="3B8687E7" w14:textId="77777777" w:rsidR="006D605F" w:rsidRDefault="006D605F" w:rsidP="0094746A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 w:eastAsia="ru-RU"/>
        </w:rPr>
      </w:pPr>
    </w:p>
    <w:p w14:paraId="331881EF" w14:textId="4C0686A2" w:rsidR="00F41A9C" w:rsidRDefault="00F41A9C" w:rsidP="00F41A9C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</w:pPr>
      <w:r w:rsidRPr="00F41A9C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Відповідно до Порядку інформування споживачів про намір зміни цін/тарифів на комунальні послуги з об</w:t>
      </w:r>
      <w:r w:rsidR="00CF06DB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ґрунтуванням такої необхідності</w:t>
      </w:r>
      <w:r w:rsidRPr="00F41A9C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, затвердженого наказом Міністерства регіонального розвитку, будівництва та житлово-комунального господарства України від 05.06.2018 року № 130, </w:t>
      </w:r>
      <w:r w:rsidR="009552A9" w:rsidRPr="009552A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"/>
        </w:rPr>
        <w:t>ТОВ «ПОЛІССЯ ЕКО ЕНЕРГО»</w:t>
      </w:r>
      <w:r w:rsidR="009552A9" w:rsidRPr="009552A9">
        <w:rPr>
          <w:rFonts w:ascii="Times New Roman" w:hAnsi="Times New Roman" w:cs="Times New Roman"/>
          <w:b/>
          <w:color w:val="000000" w:themeColor="text1"/>
          <w:sz w:val="24"/>
          <w:szCs w:val="24"/>
          <w:lang w:val="uk"/>
        </w:rPr>
        <w:t xml:space="preserve">  </w:t>
      </w:r>
      <w:r w:rsidRPr="00F41A9C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інформує про намір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зміни </w:t>
      </w:r>
      <w:r w:rsidRPr="00F41A9C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тарифів на теплову енергію, її виробництво, транспортування, постачання </w:t>
      </w:r>
      <w:r w:rsidR="00745629" w:rsidRPr="00F41A9C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та послуги з постачання теплової енергії </w:t>
      </w:r>
      <w:r w:rsidRPr="00F41A9C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для усіх категорій споживачів</w:t>
      </w:r>
      <w:r w:rsidR="00CF06DB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на 202</w:t>
      </w:r>
      <w:r w:rsidR="00BE7779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4</w:t>
      </w:r>
      <w:r w:rsidR="00CF06DB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-202</w:t>
      </w:r>
      <w:r w:rsidR="00BE7779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5</w:t>
      </w:r>
      <w:r w:rsidR="00CF06DB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роки</w:t>
      </w:r>
      <w:r w:rsidRPr="00F41A9C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.</w:t>
      </w:r>
    </w:p>
    <w:p w14:paraId="4E3D7F92" w14:textId="77777777" w:rsidR="00F41A9C" w:rsidRDefault="00F41A9C" w:rsidP="00F41A9C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</w:pPr>
    </w:p>
    <w:p w14:paraId="356DE729" w14:textId="71F5BA9C" w:rsidR="00F41A9C" w:rsidRPr="009552A9" w:rsidRDefault="00F41A9C" w:rsidP="009552A9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746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>Обґрунтування щодо встановлення з початку опалювального сезону тарифів на теплову енергію, її виробництво, транспортування та постачання, послуги з постачання теплової енергії за категоріями споживачів</w:t>
      </w:r>
      <w:r w:rsidR="00955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9552A9" w:rsidRPr="009552A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>ТОВ «ПОЛІССЯ ЕКО ЕНЕРГО»</w:t>
      </w:r>
      <w:r w:rsidRPr="0094746A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"/>
        </w:rPr>
        <w:t>.</w:t>
      </w:r>
    </w:p>
    <w:p w14:paraId="5449DC05" w14:textId="77777777" w:rsidR="00F41A9C" w:rsidRDefault="00F41A9C" w:rsidP="00F41A9C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</w:pPr>
    </w:p>
    <w:p w14:paraId="308A9AA3" w14:textId="77777777" w:rsidR="005406C1" w:rsidRPr="00C47C7A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</w:pPr>
      <w:bookmarkStart w:id="0" w:name="_Hlk114053754"/>
      <w:bookmarkStart w:id="1" w:name="_Hlk177995238"/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Відповідно до ст.1 </w:t>
      </w:r>
      <w:r w:rsidRPr="00BF21F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Закон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у</w:t>
      </w:r>
      <w:r w:rsidRPr="00BF21F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України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№2479-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IX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</w:t>
      </w:r>
      <w:r w:rsidRPr="00BF21F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(</w:t>
      </w:r>
      <w:r w:rsidRPr="009F1DE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в редакції Закону № 3220-IX від 30.06.2023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), встановлено мораторій на підвищення </w:t>
      </w:r>
      <w:r w:rsidRPr="00BF21F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тариф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ів</w:t>
      </w:r>
      <w:r w:rsidRPr="00BF21F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на теплову енергію</w:t>
      </w:r>
      <w:r w:rsidRPr="006152E6">
        <w:rPr>
          <w:lang w:val="uk"/>
        </w:rPr>
        <w:t xml:space="preserve"> </w:t>
      </w:r>
      <w:r w:rsidRPr="006152E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(її виробництво, транспортування та постачання)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, послуги з постачання теплової енергії для </w:t>
      </w:r>
      <w:r w:rsidRPr="00D73BA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  <w:lang w:val="uk"/>
        </w:rPr>
        <w:t>населення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п</w:t>
      </w:r>
      <w:r w:rsidRPr="006152E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ротягом дії воєнного стану в Україні та шести місяців після місяця, в якому воєнний стан буде припинено або скасовано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.</w:t>
      </w:r>
      <w:r w:rsidRPr="00BF21F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</w:t>
      </w:r>
      <w:r w:rsidRPr="008966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Тобто, тарифи на послуги з постачання теплової енергії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будуть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"/>
        </w:rPr>
        <w:t>застосовуватися</w:t>
      </w:r>
      <w:r w:rsidRPr="008966B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"/>
        </w:rPr>
        <w:t xml:space="preserve"> до споживачів категорії </w:t>
      </w:r>
      <w:r w:rsidRPr="008966B2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uk"/>
        </w:rPr>
        <w:t>«населення»</w:t>
      </w:r>
      <w:r w:rsidRPr="008966B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"/>
        </w:rPr>
        <w:t xml:space="preserve"> на рівні тарифів, що діяли станом на 24 лютого 2022 року.</w:t>
      </w:r>
      <w:r w:rsidRPr="00C47C7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 xml:space="preserve"> </w:t>
      </w:r>
    </w:p>
    <w:p w14:paraId="505B2B7E" w14:textId="26A1B1C4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</w:pPr>
      <w:r w:rsidRPr="0021462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Однак, діючий «Порядок формування тарифів на теплову енергію, її виробництво, транспортування та постачання, послуги з постачання теплової енергії і постачання гарячої води» затвердженому постановою Кабінету Міністрів України  від 01.06.2011 № 869  (із змінами та доповненнями, внесеними постановами Кабінету Міністрів України від  25.04.2023 №394, 28.04.2023 №416, 22.08.2023 №896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, 26.09.2023 №1031</w:t>
      </w:r>
      <w:r w:rsidRPr="0021462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)  -надалі- Порядок № 869-  передбачає  </w:t>
      </w:r>
      <w:r w:rsidRPr="00214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щорічне встановлення</w:t>
      </w:r>
      <w:r w:rsidRPr="0021462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</w:t>
      </w:r>
      <w:r w:rsidRPr="00214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тарифів </w:t>
      </w:r>
      <w:r w:rsidRPr="0021462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на теплову енергію, її виробництво, транспортування та постачання, послуги з постачання теплової енергії до початку опалювального сезону. Таким чином, оскільки протягом строку дії тарифу відбулось збільшення витрат на здійснення ліцензованих видів діяльності у зв’язку зі зміною рівня мінімальної заробітної плати, амортизаційних відрахувань, цін і тарифів на паливно-енергетичні, та інші матеріальні ресурси, </w:t>
      </w:r>
      <w:r w:rsidRPr="0021462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 xml:space="preserve">на виконання </w:t>
      </w:r>
      <w:r w:rsidRPr="0021462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норм чинного законодавства, для належного ведення господарської діяльності з виробництва, транспортування та постачання теплової енергії, з метою встановлення економічно обґрунтованих тарифів </w:t>
      </w:r>
      <w:r w:rsidR="009552A9" w:rsidRPr="009552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ТОВ «ПОЛІССЯ ЕКО ЕНЕРГО» </w:t>
      </w:r>
      <w:r w:rsidRPr="009552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"/>
        </w:rPr>
        <w:t>надає відповідні</w:t>
      </w:r>
      <w:r w:rsidRPr="0021462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розрахунки на теплову енергію на планований період з 01.10.202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4</w:t>
      </w:r>
      <w:r w:rsidRPr="0021462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по 30.09.202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5</w:t>
      </w:r>
      <w:r w:rsidRPr="0021462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 xml:space="preserve"> </w:t>
      </w:r>
    </w:p>
    <w:bookmarkEnd w:id="0"/>
    <w:p w14:paraId="54A0572A" w14:textId="77777777" w:rsidR="005406C1" w:rsidRPr="000B490E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" w:eastAsia="ru-RU"/>
        </w:rPr>
      </w:pPr>
    </w:p>
    <w:p w14:paraId="263CD0A8" w14:textId="77777777" w:rsidR="005406C1" w:rsidRPr="009A4899" w:rsidRDefault="005406C1" w:rsidP="005406C1">
      <w:pPr>
        <w:numPr>
          <w:ilvl w:val="0"/>
          <w:numId w:val="1"/>
        </w:num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489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  <w:t>Чинне законодавство</w:t>
      </w:r>
    </w:p>
    <w:p w14:paraId="061D942D" w14:textId="77777777" w:rsidR="005406C1" w:rsidRPr="0094746A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Відповідно </w:t>
      </w:r>
      <w:r w:rsidRPr="0094746A">
        <w:rPr>
          <w:rFonts w:ascii="Times New Roman" w:hAnsi="Times New Roman" w:cs="Times New Roman"/>
          <w:sz w:val="24"/>
          <w:szCs w:val="24"/>
          <w:lang w:val="uk"/>
        </w:rPr>
        <w:t xml:space="preserve">до ст. 20  Закону України «Про теплопостачання», 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тарифи на теплову енергію повинні забезпечувати відшкодування всіх економічно обґрунтованих витрат на виробництво, транспортування та постачання  теплової енергії, тарифи є регульованими та встановлюються органами місцевого самоврядування у межах повноважень, визначених законодавством.</w:t>
      </w:r>
    </w:p>
    <w:p w14:paraId="37CA3F57" w14:textId="77777777" w:rsidR="005406C1" w:rsidRPr="0094746A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46A">
        <w:rPr>
          <w:rFonts w:ascii="Times New Roman" w:hAnsi="Times New Roman" w:cs="Times New Roman"/>
          <w:sz w:val="24"/>
          <w:szCs w:val="24"/>
          <w:lang w:val="uk"/>
        </w:rPr>
        <w:t>Відповідно до Закону України від 09.11.2017 №2189-VIII «Про житлово-комунальні послуги» комунальними послугами є, зокрема, послуги з постачання теплової енергії.</w:t>
      </w:r>
    </w:p>
    <w:p w14:paraId="64ECC0E6" w14:textId="5AB82DF3" w:rsidR="005406C1" w:rsidRPr="0094746A" w:rsidRDefault="005406C1" w:rsidP="005406C1">
      <w:pPr>
        <w:shd w:val="clear" w:color="auto" w:fill="FFFFFF"/>
        <w:spacing w:after="0" w:line="276" w:lineRule="auto"/>
        <w:ind w:right="-284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</w:pP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lastRenderedPageBreak/>
        <w:t>Формування тарифів здійснено відповідно до «П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орядку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формування </w:t>
      </w:r>
      <w:bookmarkStart w:id="2" w:name="_Hlk49676982"/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тарифів на теплову енергію, її виробництво, транспортування та постачання, послуги з постачання теплової енергії і постачання гарячої води</w:t>
      </w:r>
      <w:bookmarkEnd w:id="2"/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» затвердженому постановою Кабінету Міністрів України  від 01.06.2011 № 869  (із змінами та доповненнями, внесеними постанов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ами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</w:t>
      </w:r>
      <w:bookmarkStart w:id="3" w:name="_Hlk49676699"/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Кабінету Міністрів України </w:t>
      </w:r>
      <w:bookmarkEnd w:id="3"/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від </w:t>
      </w:r>
      <w:r w:rsidRPr="009A4899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25.04.2023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№</w:t>
      </w:r>
      <w:r w:rsidRPr="009A4899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394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, </w:t>
      </w:r>
      <w:r w:rsidRPr="009A4899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28.04.2023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</w:t>
      </w:r>
      <w:r w:rsidRPr="009A4899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№416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, </w:t>
      </w:r>
      <w:r w:rsidRPr="009A4899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22.08.2023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</w:t>
      </w:r>
      <w:r w:rsidRPr="009A4899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№896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"/>
        </w:rPr>
        <w:t>26.09.2023 №1031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)  </w:t>
      </w:r>
      <w:r w:rsidRPr="009474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"/>
        </w:rPr>
        <w:t>- надалі- Порядок № 869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.</w:t>
      </w:r>
    </w:p>
    <w:p w14:paraId="69B11EA7" w14:textId="77777777" w:rsidR="005406C1" w:rsidRPr="0094746A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</w:pP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Порядок №869 передбачає  щорічне встановлення тарифів на теплову енергію, її виробництво, транспортування та постачання, послуги з постачання теплової енергії і постачання гарячої води до початку опалювального сезону. </w:t>
      </w:r>
    </w:p>
    <w:p w14:paraId="4AF1EA79" w14:textId="77777777" w:rsidR="005406C1" w:rsidRPr="0094746A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</w:pP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Послуг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и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з постачання гарячої води підприємство не надає.</w:t>
      </w:r>
    </w:p>
    <w:p w14:paraId="163BEE77" w14:textId="77777777" w:rsidR="005406C1" w:rsidRPr="0094746A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" w:eastAsia="ru-RU"/>
        </w:rPr>
      </w:pP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Керуючись Законом України від 09.11.2017 №2189-VIII «Про житлово-комунальні послуги» та вимогами Порядку № 869 Комунальне підприємство теплозабезпечення здійснило повний перегляд тарифів на теплову енергію,  її виробництво, транспортування та постачання, послуги з постачання теплової енергії, а також їх структур на плано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ван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ий період тривалістю 12 місяців – з 01 жовтня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4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року до 30 вересня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5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року.</w:t>
      </w:r>
    </w:p>
    <w:p w14:paraId="14380D78" w14:textId="75E4CEF5" w:rsidR="005406C1" w:rsidRPr="00101AB2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"/>
        </w:rPr>
      </w:pPr>
      <w:r w:rsidRPr="00101AB2">
        <w:rPr>
          <w:rFonts w:ascii="Times New Roman" w:hAnsi="Times New Roman" w:cs="Times New Roman"/>
          <w:sz w:val="24"/>
          <w:szCs w:val="24"/>
          <w:lang w:val="uk"/>
        </w:rPr>
        <w:t>Формування тарифів здійснено окремо за кожним видом ліцензованої діяльності:  виробництво, транспортування та постачання теплової енергії, послуги з постачання теплової енергії, за категоріями споживачів</w:t>
      </w:r>
      <w:r w:rsidR="00126AFD">
        <w:rPr>
          <w:rFonts w:ascii="Times New Roman" w:hAnsi="Times New Roman" w:cs="Times New Roman"/>
          <w:sz w:val="24"/>
          <w:szCs w:val="24"/>
          <w:lang w:val="uk"/>
        </w:rPr>
        <w:t xml:space="preserve"> - </w:t>
      </w:r>
      <w:r w:rsidRPr="00101AB2">
        <w:rPr>
          <w:rFonts w:ascii="Times New Roman" w:hAnsi="Times New Roman" w:cs="Times New Roman"/>
          <w:sz w:val="24"/>
          <w:szCs w:val="24"/>
          <w:lang w:val="uk"/>
        </w:rPr>
        <w:t>інші споживачі</w:t>
      </w:r>
      <w:r w:rsidR="00101AB2">
        <w:rPr>
          <w:rFonts w:ascii="Times New Roman" w:hAnsi="Times New Roman" w:cs="Times New Roman"/>
          <w:sz w:val="24"/>
          <w:szCs w:val="24"/>
          <w:lang w:val="uk"/>
        </w:rPr>
        <w:t>.</w:t>
      </w:r>
    </w:p>
    <w:p w14:paraId="45697DF3" w14:textId="77777777" w:rsidR="005406C1" w:rsidRPr="00101AB2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" w:eastAsia="ru-RU"/>
        </w:rPr>
      </w:pPr>
    </w:p>
    <w:p w14:paraId="7B11A672" w14:textId="77777777" w:rsidR="005406C1" w:rsidRPr="003F2538" w:rsidRDefault="005406C1" w:rsidP="005406C1">
      <w:pPr>
        <w:pStyle w:val="a8"/>
        <w:numPr>
          <w:ilvl w:val="0"/>
          <w:numId w:val="3"/>
        </w:num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474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"/>
        </w:rPr>
        <w:t>Основні фактори, які вплинули на зміну тарифів на теплову енергію та послуги з  постачання теплової енергії:</w:t>
      </w:r>
    </w:p>
    <w:p w14:paraId="6F2B5514" w14:textId="77777777" w:rsidR="005406C1" w:rsidRPr="00FA6A4A" w:rsidRDefault="005406C1" w:rsidP="005406C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14:paraId="6C6BCF3B" w14:textId="4EBDB96D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</w:pPr>
      <w:r w:rsidRPr="003F253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  <w:t>Зміна обсягів виробничої програми</w:t>
      </w:r>
      <w:r w:rsidRPr="003F25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 xml:space="preserve"> з урахуванням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 xml:space="preserve">динаміки фактичної середньої температури зовнішнього повітря та </w:t>
      </w:r>
      <w:r w:rsidRPr="003F25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>фактичн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>ої тривалості опалювальних сезонів</w:t>
      </w:r>
      <w:r w:rsidRPr="003F25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>,</w:t>
      </w:r>
      <w:r w:rsidR="00D8400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 xml:space="preserve"> </w:t>
      </w:r>
      <w:r w:rsidRPr="003F25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br/>
      </w:r>
      <w:proofErr w:type="spellStart"/>
      <w:r w:rsidRPr="003F25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>Гкал</w:t>
      </w:r>
      <w:proofErr w:type="spellEnd"/>
      <w:r w:rsidRPr="003F25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5406C1" w:rsidRPr="005C7B90" w14:paraId="13CAF3C4" w14:textId="77777777" w:rsidTr="009552A9">
        <w:tc>
          <w:tcPr>
            <w:tcW w:w="3304" w:type="dxa"/>
          </w:tcPr>
          <w:p w14:paraId="7EFA0B15" w14:textId="77777777" w:rsidR="005406C1" w:rsidRPr="005C7B90" w:rsidRDefault="005406C1" w:rsidP="009552A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"/>
              </w:rPr>
            </w:pPr>
            <w:bookmarkStart w:id="4" w:name="_Hlk146720357"/>
            <w:r w:rsidRPr="005C7B9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"/>
              </w:rPr>
              <w:t>Група споживачів</w:t>
            </w:r>
          </w:p>
        </w:tc>
        <w:tc>
          <w:tcPr>
            <w:tcW w:w="3304" w:type="dxa"/>
          </w:tcPr>
          <w:p w14:paraId="5988202F" w14:textId="77777777" w:rsidR="005406C1" w:rsidRPr="005C7B90" w:rsidRDefault="005406C1" w:rsidP="009552A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"/>
              </w:rPr>
            </w:pPr>
            <w:r w:rsidRPr="005C7B90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"/>
              </w:rPr>
              <w:t>Діюча програма</w:t>
            </w:r>
          </w:p>
        </w:tc>
        <w:tc>
          <w:tcPr>
            <w:tcW w:w="3304" w:type="dxa"/>
          </w:tcPr>
          <w:p w14:paraId="56479925" w14:textId="77777777" w:rsidR="005406C1" w:rsidRPr="001C4B2C" w:rsidRDefault="005406C1" w:rsidP="009552A9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"/>
              </w:rPr>
            </w:pPr>
            <w:r w:rsidRPr="001C4B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"/>
              </w:rPr>
              <w:t>Планова програма</w:t>
            </w:r>
          </w:p>
        </w:tc>
      </w:tr>
      <w:tr w:rsidR="00D84007" w:rsidRPr="005C7B90" w14:paraId="0CE9E1FD" w14:textId="77777777" w:rsidTr="009552A9">
        <w:tc>
          <w:tcPr>
            <w:tcW w:w="3304" w:type="dxa"/>
          </w:tcPr>
          <w:p w14:paraId="22644CC8" w14:textId="77777777" w:rsidR="00D84007" w:rsidRPr="005C7B90" w:rsidRDefault="00D84007" w:rsidP="00D84007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"/>
              </w:rPr>
            </w:pPr>
            <w:r w:rsidRPr="005C7B9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"/>
              </w:rPr>
              <w:t>Інші споживачі</w:t>
            </w:r>
          </w:p>
        </w:tc>
        <w:tc>
          <w:tcPr>
            <w:tcW w:w="3304" w:type="dxa"/>
          </w:tcPr>
          <w:p w14:paraId="7CE264AD" w14:textId="7A644EBF" w:rsidR="00D84007" w:rsidRPr="001C4B2C" w:rsidRDefault="00D84007" w:rsidP="00D84007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"/>
              </w:rPr>
              <w:t>1871,341</w:t>
            </w:r>
          </w:p>
        </w:tc>
        <w:tc>
          <w:tcPr>
            <w:tcW w:w="3304" w:type="dxa"/>
          </w:tcPr>
          <w:p w14:paraId="143D40C1" w14:textId="235866EE" w:rsidR="00D84007" w:rsidRPr="001C4B2C" w:rsidRDefault="00D84007" w:rsidP="00D84007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"/>
              </w:rPr>
              <w:t>1991,816</w:t>
            </w:r>
          </w:p>
        </w:tc>
      </w:tr>
      <w:bookmarkEnd w:id="4"/>
    </w:tbl>
    <w:p w14:paraId="2B807149" w14:textId="77777777" w:rsidR="00126AFD" w:rsidRDefault="00126AFD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</w:pPr>
    </w:p>
    <w:p w14:paraId="545F9315" w14:textId="3B75A67A" w:rsidR="005406C1" w:rsidRPr="00F93090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</w:pPr>
      <w:r w:rsidRPr="00F9309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  <w:t xml:space="preserve">Зміна вартості </w:t>
      </w:r>
      <w:bookmarkStart w:id="5" w:name="_Hlk179386236"/>
      <w:r w:rsidR="00D84007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  <w:t>твердого палива</w:t>
      </w:r>
      <w:bookmarkEnd w:id="5"/>
    </w:p>
    <w:p w14:paraId="65508406" w14:textId="3716FCCF" w:rsidR="005406C1" w:rsidRPr="00927AC4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</w:pP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Для розрахунку витрат на </w:t>
      </w:r>
      <w:r w:rsidR="00D84007" w:rsidRPr="00D8400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"/>
        </w:rPr>
        <w:t>тверде паливо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, як</w:t>
      </w:r>
      <w:r w:rsidR="00126AFD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е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використову</w:t>
      </w:r>
      <w:r w:rsidR="00126AFD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ю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ться для виробництва теплової енергії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для </w:t>
      </w:r>
      <w:r w:rsidRPr="00B441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"/>
        </w:rPr>
        <w:t>інших споживачів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врахована ціна</w:t>
      </w:r>
      <w:r w:rsidR="00126AFD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з доставкою </w:t>
      </w:r>
      <w:r w:rsidR="00D84007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1600,00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грн.</w:t>
      </w:r>
      <w:r w:rsidR="00B253AB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за 1 </w:t>
      </w:r>
      <w:proofErr w:type="spellStart"/>
      <w:r w:rsidR="00B253AB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куб.м</w:t>
      </w:r>
      <w:proofErr w:type="spellEnd"/>
      <w:r w:rsidR="00B253AB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без ПДВ</w:t>
      </w:r>
      <w:r w:rsidRPr="00CA5FB5">
        <w:rPr>
          <w:rFonts w:ascii="Times New Roman" w:hAnsi="Times New Roman" w:cs="Times New Roman"/>
          <w:sz w:val="24"/>
          <w:szCs w:val="24"/>
          <w:lang w:val="uk"/>
        </w:rPr>
        <w:t>.</w:t>
      </w:r>
      <w:r w:rsidR="00126AFD">
        <w:rPr>
          <w:rFonts w:ascii="Times New Roman" w:hAnsi="Times New Roman" w:cs="Times New Roman"/>
          <w:sz w:val="24"/>
          <w:szCs w:val="24"/>
          <w:lang w:val="uk"/>
        </w:rPr>
        <w:t xml:space="preserve"> </w:t>
      </w:r>
    </w:p>
    <w:p w14:paraId="3EDEAF65" w14:textId="1E126F8A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"/>
        </w:rPr>
      </w:pPr>
      <w:r w:rsidRPr="00391233">
        <w:rPr>
          <w:rFonts w:ascii="Times New Roman" w:hAnsi="Times New Roman" w:cs="Times New Roman"/>
          <w:sz w:val="24"/>
          <w:szCs w:val="24"/>
          <w:lang w:val="uk"/>
        </w:rPr>
        <w:t xml:space="preserve">У діючому на даний час тарифі на послуги з постачання теплової енергії для </w:t>
      </w:r>
      <w:r w:rsidR="00B253AB">
        <w:rPr>
          <w:rFonts w:ascii="Times New Roman" w:hAnsi="Times New Roman" w:cs="Times New Roman"/>
          <w:sz w:val="24"/>
          <w:szCs w:val="24"/>
          <w:lang w:val="uk"/>
        </w:rPr>
        <w:t>інших споживачів</w:t>
      </w:r>
      <w:r w:rsidRPr="00391233">
        <w:rPr>
          <w:rFonts w:ascii="Times New Roman" w:hAnsi="Times New Roman" w:cs="Times New Roman"/>
          <w:sz w:val="24"/>
          <w:szCs w:val="24"/>
          <w:lang w:val="uk"/>
        </w:rPr>
        <w:t xml:space="preserve"> врахована вартість </w:t>
      </w:r>
      <w:r w:rsidR="00B253AB">
        <w:rPr>
          <w:rFonts w:ascii="Times New Roman" w:hAnsi="Times New Roman" w:cs="Times New Roman"/>
          <w:sz w:val="24"/>
          <w:szCs w:val="24"/>
          <w:lang w:val="uk"/>
        </w:rPr>
        <w:t>твердого палива</w:t>
      </w:r>
      <w:r w:rsidRPr="00391233">
        <w:rPr>
          <w:rFonts w:ascii="Times New Roman" w:hAnsi="Times New Roman" w:cs="Times New Roman"/>
          <w:sz w:val="24"/>
          <w:szCs w:val="24"/>
          <w:lang w:val="uk"/>
        </w:rPr>
        <w:t xml:space="preserve"> </w:t>
      </w:r>
      <w:r w:rsidR="00B253AB">
        <w:rPr>
          <w:rFonts w:ascii="Times New Roman" w:hAnsi="Times New Roman" w:cs="Times New Roman"/>
          <w:sz w:val="24"/>
          <w:szCs w:val="24"/>
          <w:lang w:val="uk"/>
        </w:rPr>
        <w:t>1500,00</w:t>
      </w:r>
      <w:r w:rsidRPr="00391233">
        <w:rPr>
          <w:rFonts w:ascii="Times New Roman" w:hAnsi="Times New Roman" w:cs="Times New Roman"/>
          <w:sz w:val="24"/>
          <w:szCs w:val="24"/>
          <w:lang w:val="uk"/>
        </w:rPr>
        <w:t xml:space="preserve"> грн </w:t>
      </w:r>
      <w:r w:rsidR="00B253AB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за 1 </w:t>
      </w:r>
      <w:proofErr w:type="spellStart"/>
      <w:r w:rsidR="00B253AB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куб.м</w:t>
      </w:r>
      <w:proofErr w:type="spellEnd"/>
      <w:r w:rsidR="00B253AB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. без ПДВ</w:t>
      </w:r>
      <w:r w:rsidRPr="00391233">
        <w:rPr>
          <w:rFonts w:ascii="Times New Roman" w:hAnsi="Times New Roman" w:cs="Times New Roman"/>
          <w:sz w:val="24"/>
          <w:szCs w:val="24"/>
          <w:lang w:val="uk"/>
        </w:rPr>
        <w:t xml:space="preserve">. Отже, </w:t>
      </w:r>
      <w:r w:rsidRPr="00391233">
        <w:rPr>
          <w:rFonts w:ascii="Times New Roman" w:hAnsi="Times New Roman" w:cs="Times New Roman"/>
          <w:b/>
          <w:bCs/>
          <w:sz w:val="24"/>
          <w:szCs w:val="24"/>
          <w:lang w:val="uk"/>
        </w:rPr>
        <w:t xml:space="preserve">ціна на </w:t>
      </w:r>
      <w:r w:rsidR="00B253AB">
        <w:rPr>
          <w:rFonts w:ascii="Times New Roman" w:hAnsi="Times New Roman" w:cs="Times New Roman"/>
          <w:b/>
          <w:bCs/>
          <w:sz w:val="24"/>
          <w:szCs w:val="24"/>
          <w:lang w:val="uk"/>
        </w:rPr>
        <w:t>тверде паливо зросла на 100,00 грн.</w:t>
      </w:r>
    </w:p>
    <w:p w14:paraId="7FFB8C3B" w14:textId="77777777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</w:pPr>
    </w:p>
    <w:p w14:paraId="703FABC4" w14:textId="77777777" w:rsidR="005406C1" w:rsidRPr="00F93090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uk" w:eastAsia="ru-RU"/>
        </w:rPr>
      </w:pPr>
      <w:r w:rsidRPr="00F9309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  <w:t>Зміна вартості електричної енергії</w:t>
      </w:r>
    </w:p>
    <w:p w14:paraId="55AD739D" w14:textId="7A43FCEA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</w:pP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Для розрахунку витрат на електроенергію врахована ціна електричної енергії, що склалася на підприємстві за </w:t>
      </w:r>
      <w:proofErr w:type="spellStart"/>
      <w:r w:rsidR="00A14BF6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дев»ять</w:t>
      </w:r>
      <w:proofErr w:type="spellEnd"/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календарних місяців, що передують місяцю подання розрахунків тарифів на плановий період. Середня ціна на постачання електроенергії, що включена до розрахунків тарифів розрахована за </w:t>
      </w:r>
      <w:r w:rsidR="00B253AB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січень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 – </w:t>
      </w:r>
      <w:r w:rsidR="00A14BF6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вересень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4 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року та складає: </w:t>
      </w:r>
    </w:p>
    <w:p w14:paraId="7A394026" w14:textId="77777777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</w:pPr>
    </w:p>
    <w:tbl>
      <w:tblPr>
        <w:tblW w:w="65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489"/>
        <w:gridCol w:w="1120"/>
      </w:tblGrid>
      <w:tr w:rsidR="005406C1" w:rsidRPr="00827E83" w14:paraId="14266F6A" w14:textId="77777777" w:rsidTr="009552A9">
        <w:trPr>
          <w:trHeight w:val="30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EE426" w14:textId="77777777" w:rsidR="005406C1" w:rsidRPr="00827E83" w:rsidRDefault="005406C1" w:rsidP="00955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3"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  <w:r w:rsidRPr="0082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постачання </w:t>
            </w:r>
            <w:proofErr w:type="spellStart"/>
            <w:r w:rsidRPr="00827E83">
              <w:rPr>
                <w:rFonts w:ascii="Times New Roman" w:hAnsi="Times New Roman" w:cs="Times New Roman"/>
                <w:sz w:val="24"/>
                <w:szCs w:val="24"/>
              </w:rPr>
              <w:t>електроенергі</w:t>
            </w:r>
            <w:proofErr w:type="spellEnd"/>
            <w:r w:rsidRPr="00827E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827E83">
              <w:rPr>
                <w:rFonts w:ascii="Times New Roman" w:hAnsi="Times New Roman" w:cs="Times New Roman"/>
                <w:sz w:val="24"/>
                <w:szCs w:val="24"/>
              </w:rPr>
              <w:t>, без ПДВ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3407A" w14:textId="77777777" w:rsidR="005406C1" w:rsidRPr="00827E83" w:rsidRDefault="005406C1" w:rsidP="009552A9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3">
              <w:rPr>
                <w:rFonts w:ascii="Times New Roman" w:hAnsi="Times New Roman" w:cs="Times New Roman"/>
                <w:sz w:val="24"/>
                <w:szCs w:val="24"/>
              </w:rPr>
              <w:t>коп/</w:t>
            </w:r>
            <w:proofErr w:type="spellStart"/>
            <w:r w:rsidRPr="00827E83">
              <w:rPr>
                <w:rFonts w:ascii="Times New Roman" w:hAnsi="Times New Roman" w:cs="Times New Roman"/>
                <w:sz w:val="24"/>
                <w:szCs w:val="24"/>
              </w:rPr>
              <w:t>кВт·год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D4469" w14:textId="3F67CD1D" w:rsidR="005406C1" w:rsidRPr="00827E83" w:rsidRDefault="00B253AB" w:rsidP="009552A9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6,507</w:t>
            </w:r>
          </w:p>
        </w:tc>
      </w:tr>
      <w:tr w:rsidR="005406C1" w:rsidRPr="00827E83" w14:paraId="2A958FA1" w14:textId="77777777" w:rsidTr="009552A9">
        <w:trPr>
          <w:trHeight w:val="510"/>
          <w:jc w:val="center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94A3F" w14:textId="77777777" w:rsidR="005406C1" w:rsidRPr="00827E83" w:rsidRDefault="005406C1" w:rsidP="009552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3"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  <w:proofErr w:type="spellStart"/>
            <w:r w:rsidRPr="00827E83">
              <w:rPr>
                <w:rFonts w:ascii="Times New Roman" w:hAnsi="Times New Roman" w:cs="Times New Roman"/>
                <w:sz w:val="24"/>
                <w:szCs w:val="24"/>
              </w:rPr>
              <w:t>послугу</w:t>
            </w:r>
            <w:proofErr w:type="spellEnd"/>
            <w:r w:rsidRPr="00827E8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27E83">
              <w:rPr>
                <w:rFonts w:ascii="Times New Roman" w:hAnsi="Times New Roman" w:cs="Times New Roman"/>
                <w:sz w:val="24"/>
                <w:szCs w:val="24"/>
              </w:rPr>
              <w:t>розподілу</w:t>
            </w:r>
            <w:proofErr w:type="spellEnd"/>
            <w:r w:rsidRPr="0082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E83">
              <w:rPr>
                <w:rFonts w:ascii="Times New Roman" w:hAnsi="Times New Roman" w:cs="Times New Roman"/>
                <w:sz w:val="24"/>
                <w:szCs w:val="24"/>
              </w:rPr>
              <w:t>електричної</w:t>
            </w:r>
            <w:proofErr w:type="spellEnd"/>
            <w:r w:rsidRPr="0082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E83">
              <w:rPr>
                <w:rFonts w:ascii="Times New Roman" w:hAnsi="Times New Roman" w:cs="Times New Roman"/>
                <w:sz w:val="24"/>
                <w:szCs w:val="24"/>
              </w:rPr>
              <w:t>енергії</w:t>
            </w:r>
            <w:proofErr w:type="spellEnd"/>
            <w:r w:rsidRPr="00827E83">
              <w:rPr>
                <w:rFonts w:ascii="Times New Roman" w:hAnsi="Times New Roman" w:cs="Times New Roman"/>
                <w:sz w:val="24"/>
                <w:szCs w:val="24"/>
              </w:rPr>
              <w:t>, без ПДВ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22263" w14:textId="77777777" w:rsidR="005406C1" w:rsidRDefault="005406C1" w:rsidP="009552A9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FF17" w14:textId="77777777" w:rsidR="005406C1" w:rsidRPr="00827E83" w:rsidRDefault="005406C1" w:rsidP="009552A9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3">
              <w:rPr>
                <w:rFonts w:ascii="Times New Roman" w:hAnsi="Times New Roman" w:cs="Times New Roman"/>
                <w:sz w:val="24"/>
                <w:szCs w:val="24"/>
              </w:rPr>
              <w:t>коп/</w:t>
            </w:r>
            <w:proofErr w:type="spellStart"/>
            <w:r w:rsidRPr="00827E83">
              <w:rPr>
                <w:rFonts w:ascii="Times New Roman" w:hAnsi="Times New Roman" w:cs="Times New Roman"/>
                <w:sz w:val="24"/>
                <w:szCs w:val="24"/>
              </w:rPr>
              <w:t>кВт·год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FE800" w14:textId="77777777" w:rsidR="005406C1" w:rsidRDefault="005406C1" w:rsidP="009552A9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042F40" w14:textId="1DAC8BAD" w:rsidR="005406C1" w:rsidRPr="00827E83" w:rsidRDefault="00B253AB" w:rsidP="009552A9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1,643</w:t>
            </w:r>
          </w:p>
        </w:tc>
      </w:tr>
    </w:tbl>
    <w:p w14:paraId="3F096A75" w14:textId="77777777" w:rsidR="0007359B" w:rsidRDefault="0007359B" w:rsidP="005406C1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"/>
        </w:rPr>
      </w:pPr>
    </w:p>
    <w:p w14:paraId="499397D3" w14:textId="3EFB70B1" w:rsidR="005406C1" w:rsidRPr="00827E83" w:rsidRDefault="005406C1" w:rsidP="005406C1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"/>
        </w:rPr>
        <w:t>С</w:t>
      </w:r>
      <w:r w:rsidRPr="00827E83">
        <w:rPr>
          <w:rFonts w:ascii="Times New Roman" w:hAnsi="Times New Roman" w:cs="Times New Roman"/>
          <w:sz w:val="24"/>
          <w:szCs w:val="24"/>
          <w:lang w:val="uk"/>
        </w:rPr>
        <w:t xml:space="preserve">умарна ціна електроенергії, що закладена в тариф складає – </w:t>
      </w:r>
      <w:r>
        <w:rPr>
          <w:rFonts w:ascii="Times New Roman" w:hAnsi="Times New Roman" w:cs="Times New Roman"/>
          <w:sz w:val="24"/>
          <w:szCs w:val="24"/>
          <w:lang w:val="uk"/>
        </w:rPr>
        <w:t>8,</w:t>
      </w:r>
      <w:r w:rsidR="0007359B">
        <w:rPr>
          <w:rFonts w:ascii="Times New Roman" w:hAnsi="Times New Roman" w:cs="Times New Roman"/>
          <w:sz w:val="24"/>
          <w:szCs w:val="24"/>
          <w:lang w:val="uk"/>
        </w:rPr>
        <w:t>15</w:t>
      </w:r>
      <w:r>
        <w:rPr>
          <w:rFonts w:ascii="Times New Roman" w:hAnsi="Times New Roman" w:cs="Times New Roman"/>
          <w:sz w:val="24"/>
          <w:szCs w:val="24"/>
          <w:lang w:val="uk"/>
        </w:rPr>
        <w:t xml:space="preserve"> </w:t>
      </w:r>
      <w:r w:rsidRPr="00827E83">
        <w:rPr>
          <w:rFonts w:ascii="Times New Roman" w:hAnsi="Times New Roman" w:cs="Times New Roman"/>
          <w:sz w:val="24"/>
          <w:szCs w:val="24"/>
          <w:lang w:val="uk"/>
        </w:rPr>
        <w:t>грн за 1 кВт/год без ПДВ.</w:t>
      </w:r>
    </w:p>
    <w:p w14:paraId="3E344674" w14:textId="06C726E6" w:rsidR="005406C1" w:rsidRPr="00827E83" w:rsidRDefault="005406C1" w:rsidP="005406C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"/>
        </w:rPr>
      </w:pPr>
      <w:r>
        <w:rPr>
          <w:rFonts w:ascii="Times New Roman" w:hAnsi="Times New Roman" w:cs="Times New Roman"/>
          <w:sz w:val="24"/>
          <w:szCs w:val="24"/>
          <w:lang w:val="uk"/>
        </w:rPr>
        <w:t xml:space="preserve">      </w:t>
      </w:r>
      <w:r w:rsidRPr="00827E83">
        <w:rPr>
          <w:rFonts w:ascii="Times New Roman" w:hAnsi="Times New Roman" w:cs="Times New Roman"/>
          <w:sz w:val="24"/>
          <w:szCs w:val="24"/>
          <w:lang w:val="uk"/>
        </w:rPr>
        <w:t xml:space="preserve">У порівнянні з діючим тарифом відбулося </w:t>
      </w:r>
      <w:r w:rsidRPr="00827E83">
        <w:rPr>
          <w:rFonts w:ascii="Times New Roman" w:hAnsi="Times New Roman" w:cs="Times New Roman"/>
          <w:b/>
          <w:bCs/>
          <w:sz w:val="24"/>
          <w:szCs w:val="24"/>
          <w:lang w:val="uk"/>
        </w:rPr>
        <w:t xml:space="preserve">зростання ціни на електричну енергію на </w:t>
      </w:r>
      <w:r w:rsidR="00A14BF6">
        <w:rPr>
          <w:rFonts w:ascii="Times New Roman" w:hAnsi="Times New Roman" w:cs="Times New Roman"/>
          <w:b/>
          <w:bCs/>
          <w:sz w:val="24"/>
          <w:szCs w:val="24"/>
          <w:lang w:val="uk"/>
        </w:rPr>
        <w:t>41,7</w:t>
      </w:r>
      <w:r w:rsidRPr="00827E83">
        <w:rPr>
          <w:rFonts w:ascii="Times New Roman" w:hAnsi="Times New Roman" w:cs="Times New Roman"/>
          <w:b/>
          <w:bCs/>
          <w:sz w:val="24"/>
          <w:szCs w:val="24"/>
          <w:lang w:val="uk"/>
        </w:rPr>
        <w:t>%.</w:t>
      </w:r>
      <w:r w:rsidRPr="00827E83">
        <w:rPr>
          <w:rFonts w:ascii="Times New Roman" w:hAnsi="Times New Roman" w:cs="Times New Roman"/>
          <w:sz w:val="24"/>
          <w:szCs w:val="24"/>
          <w:lang w:val="uk"/>
        </w:rPr>
        <w:t xml:space="preserve"> </w:t>
      </w:r>
    </w:p>
    <w:p w14:paraId="767FB0F2" w14:textId="32027D6B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"/>
        </w:rPr>
      </w:pPr>
    </w:p>
    <w:p w14:paraId="24924E7C" w14:textId="77777777" w:rsidR="002B0E54" w:rsidRDefault="002B0E54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"/>
        </w:rPr>
      </w:pPr>
    </w:p>
    <w:p w14:paraId="1BB427D5" w14:textId="77777777" w:rsidR="005406C1" w:rsidRPr="0094746A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9474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"/>
        </w:rPr>
        <w:t>Збільшення витрат на оплату праці та відрахувань на соціальні заходи</w:t>
      </w:r>
    </w:p>
    <w:p w14:paraId="6968C9DA" w14:textId="0B6A51F6" w:rsidR="005406C1" w:rsidRPr="0094746A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Витрати на оплату праці на плановий період розраховані відповідно до Закону України «Про оплату праці», Закону України «Про Державний бюджет Україна на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4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рік», Галузевої угоди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</w:t>
      </w:r>
      <w:r w:rsidRPr="00CF7017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(із змінами і доповненнями)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 xml:space="preserve"> </w:t>
      </w:r>
      <w:r w:rsidRPr="00197E80">
        <w:rPr>
          <w:rFonts w:ascii="Times New Roman" w:hAnsi="Times New Roman" w:cs="Times New Roman"/>
          <w:sz w:val="24"/>
          <w:szCs w:val="24"/>
          <w:lang w:val="uk"/>
        </w:rPr>
        <w:t xml:space="preserve">між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Міністерством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розвитку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громад,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територій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інфраструктури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Об’єднанням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організацій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роботодавців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Всеукраїнська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конфедерація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роботодавців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житлово-комунальної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галузі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та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Центральним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комітетом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профспілки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працівників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житловокомунального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господарства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місцевої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промисловості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побутового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обслуговування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населення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Pr="00197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2023 – 2027 рок</w:t>
      </w:r>
      <w:r w:rsidR="00A14B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Pr="0094746A">
        <w:rPr>
          <w:rFonts w:ascii="Times New Roman" w:hAnsi="Times New Roman" w:cs="Times New Roman"/>
          <w:color w:val="000000" w:themeColor="text1"/>
          <w:sz w:val="24"/>
          <w:szCs w:val="24"/>
          <w:lang w:val="uk"/>
        </w:rPr>
        <w:t>.</w:t>
      </w:r>
    </w:p>
    <w:p w14:paraId="7414A83A" w14:textId="77777777" w:rsidR="005406C1" w:rsidRPr="00AD5AC0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"/>
        </w:rPr>
      </w:pPr>
      <w:r w:rsidRPr="00AD5AC0">
        <w:rPr>
          <w:rFonts w:ascii="Times New Roman" w:hAnsi="Times New Roman" w:cs="Times New Roman"/>
          <w:sz w:val="24"/>
          <w:szCs w:val="24"/>
          <w:lang w:val="uk"/>
        </w:rPr>
        <w:t>Витрати на оплату праці визначені виходячи з прожиткового мінімуму на працездатну особу на 1</w:t>
      </w:r>
      <w:r>
        <w:rPr>
          <w:rFonts w:ascii="Times New Roman" w:hAnsi="Times New Roman" w:cs="Times New Roman"/>
          <w:sz w:val="24"/>
          <w:szCs w:val="24"/>
          <w:lang w:val="uk"/>
        </w:rPr>
        <w:t>січня</w:t>
      </w:r>
      <w:r w:rsidRPr="00AD5AC0">
        <w:rPr>
          <w:rFonts w:ascii="Times New Roman" w:hAnsi="Times New Roman" w:cs="Times New Roman"/>
          <w:sz w:val="24"/>
          <w:szCs w:val="24"/>
          <w:lang w:val="uk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"/>
        </w:rPr>
        <w:t>4</w:t>
      </w:r>
      <w:r w:rsidRPr="00AD5AC0">
        <w:rPr>
          <w:rFonts w:ascii="Times New Roman" w:hAnsi="Times New Roman" w:cs="Times New Roman"/>
          <w:sz w:val="24"/>
          <w:szCs w:val="24"/>
          <w:lang w:val="uk"/>
        </w:rPr>
        <w:t xml:space="preserve"> року – </w:t>
      </w:r>
      <w:r>
        <w:rPr>
          <w:rFonts w:ascii="Times New Roman" w:hAnsi="Times New Roman" w:cs="Times New Roman"/>
          <w:sz w:val="24"/>
          <w:szCs w:val="24"/>
          <w:lang w:val="uk"/>
        </w:rPr>
        <w:t>3028</w:t>
      </w:r>
      <w:r w:rsidRPr="00AD5AC0">
        <w:rPr>
          <w:rFonts w:ascii="Times New Roman" w:hAnsi="Times New Roman" w:cs="Times New Roman"/>
          <w:sz w:val="24"/>
          <w:szCs w:val="24"/>
          <w:lang w:val="uk"/>
        </w:rPr>
        <w:t xml:space="preserve"> грн.</w:t>
      </w:r>
      <w:r>
        <w:rPr>
          <w:rFonts w:ascii="Times New Roman" w:hAnsi="Times New Roman" w:cs="Times New Roman"/>
          <w:sz w:val="24"/>
          <w:szCs w:val="24"/>
          <w:lang w:val="uk"/>
        </w:rPr>
        <w:t>,</w:t>
      </w:r>
      <w:r w:rsidRPr="00AD5AC0">
        <w:rPr>
          <w:rFonts w:ascii="Times New Roman" w:hAnsi="Times New Roman" w:cs="Times New Roman"/>
          <w:sz w:val="24"/>
          <w:szCs w:val="24"/>
          <w:lang w:val="uk"/>
        </w:rPr>
        <w:t xml:space="preserve"> а мінімальної зарплати </w:t>
      </w:r>
      <w:r>
        <w:rPr>
          <w:rFonts w:ascii="Times New Roman" w:hAnsi="Times New Roman" w:cs="Times New Roman"/>
          <w:sz w:val="24"/>
          <w:szCs w:val="24"/>
          <w:lang w:val="uk"/>
        </w:rPr>
        <w:t>80</w:t>
      </w:r>
      <w:r w:rsidRPr="00AD5AC0">
        <w:rPr>
          <w:rFonts w:ascii="Times New Roman" w:hAnsi="Times New Roman" w:cs="Times New Roman"/>
          <w:sz w:val="24"/>
          <w:szCs w:val="24"/>
          <w:lang w:val="uk"/>
        </w:rPr>
        <w:t>00 грн</w:t>
      </w:r>
      <w:r>
        <w:rPr>
          <w:rFonts w:ascii="Times New Roman" w:hAnsi="Times New Roman" w:cs="Times New Roman"/>
          <w:sz w:val="24"/>
          <w:szCs w:val="24"/>
          <w:lang w:val="uk"/>
        </w:rPr>
        <w:t xml:space="preserve"> з 01.04.2024 року</w:t>
      </w:r>
      <w:r w:rsidRPr="00AD5AC0">
        <w:rPr>
          <w:rFonts w:ascii="Times New Roman" w:hAnsi="Times New Roman" w:cs="Times New Roman"/>
          <w:sz w:val="24"/>
          <w:szCs w:val="24"/>
          <w:lang w:val="uk"/>
        </w:rPr>
        <w:t>, встановлених Законом України «Про Державний бюджет України на 202</w:t>
      </w:r>
      <w:r>
        <w:rPr>
          <w:rFonts w:ascii="Times New Roman" w:hAnsi="Times New Roman" w:cs="Times New Roman"/>
          <w:sz w:val="24"/>
          <w:szCs w:val="24"/>
          <w:lang w:val="uk"/>
        </w:rPr>
        <w:t>4</w:t>
      </w:r>
      <w:r w:rsidRPr="00AD5AC0">
        <w:rPr>
          <w:rFonts w:ascii="Times New Roman" w:hAnsi="Times New Roman" w:cs="Times New Roman"/>
          <w:sz w:val="24"/>
          <w:szCs w:val="24"/>
          <w:lang w:val="uk"/>
        </w:rPr>
        <w:t xml:space="preserve"> рік», у діючому тарифі –</w:t>
      </w:r>
      <w:r>
        <w:rPr>
          <w:rFonts w:ascii="Times New Roman" w:hAnsi="Times New Roman" w:cs="Times New Roman"/>
          <w:sz w:val="24"/>
          <w:szCs w:val="24"/>
          <w:lang w:val="uk"/>
        </w:rPr>
        <w:t>2684</w:t>
      </w:r>
      <w:r w:rsidRPr="00AD5AC0">
        <w:rPr>
          <w:rFonts w:ascii="Times New Roman" w:hAnsi="Times New Roman" w:cs="Times New Roman"/>
          <w:sz w:val="24"/>
          <w:szCs w:val="24"/>
          <w:lang w:val="uk"/>
        </w:rPr>
        <w:t xml:space="preserve"> грн, та </w:t>
      </w:r>
      <w:r>
        <w:rPr>
          <w:rFonts w:ascii="Times New Roman" w:hAnsi="Times New Roman" w:cs="Times New Roman"/>
          <w:sz w:val="24"/>
          <w:szCs w:val="24"/>
          <w:lang w:val="uk"/>
        </w:rPr>
        <w:t>6700</w:t>
      </w:r>
      <w:r w:rsidRPr="00AD5AC0">
        <w:rPr>
          <w:rFonts w:ascii="Times New Roman" w:hAnsi="Times New Roman" w:cs="Times New Roman"/>
          <w:sz w:val="24"/>
          <w:szCs w:val="24"/>
          <w:lang w:val="uk"/>
        </w:rPr>
        <w:t xml:space="preserve"> грн. Отже, </w:t>
      </w:r>
      <w:r w:rsidRPr="00AD5AC0">
        <w:rPr>
          <w:rFonts w:ascii="Times New Roman" w:hAnsi="Times New Roman" w:cs="Times New Roman"/>
          <w:b/>
          <w:bCs/>
          <w:sz w:val="24"/>
          <w:szCs w:val="24"/>
          <w:lang w:val="uk"/>
        </w:rPr>
        <w:t xml:space="preserve">витрати на оплату праці збільшились на </w:t>
      </w:r>
      <w:r>
        <w:rPr>
          <w:rFonts w:ascii="Times New Roman" w:hAnsi="Times New Roman" w:cs="Times New Roman"/>
          <w:b/>
          <w:bCs/>
          <w:sz w:val="24"/>
          <w:szCs w:val="24"/>
          <w:lang w:val="uk"/>
        </w:rPr>
        <w:t>19,4</w:t>
      </w:r>
      <w:r w:rsidRPr="00AD5AC0">
        <w:rPr>
          <w:rFonts w:ascii="Times New Roman" w:hAnsi="Times New Roman" w:cs="Times New Roman"/>
          <w:b/>
          <w:bCs/>
          <w:sz w:val="24"/>
          <w:szCs w:val="24"/>
          <w:lang w:val="uk"/>
        </w:rPr>
        <w:t>%.</w:t>
      </w:r>
    </w:p>
    <w:p w14:paraId="5786B8D2" w14:textId="77777777" w:rsidR="005406C1" w:rsidRPr="00AD5AC0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"/>
        </w:rPr>
      </w:pPr>
      <w:proofErr w:type="spellStart"/>
      <w:r w:rsidRPr="00AD5AC0">
        <w:rPr>
          <w:rFonts w:ascii="Times New Roman" w:hAnsi="Times New Roman" w:cs="Times New Roman"/>
          <w:sz w:val="24"/>
          <w:szCs w:val="24"/>
          <w:lang w:val="uk"/>
        </w:rPr>
        <w:t>Пропорційно</w:t>
      </w:r>
      <w:proofErr w:type="spellEnd"/>
      <w:r w:rsidRPr="00AD5AC0">
        <w:rPr>
          <w:rFonts w:ascii="Times New Roman" w:hAnsi="Times New Roman" w:cs="Times New Roman"/>
          <w:sz w:val="24"/>
          <w:szCs w:val="24"/>
          <w:lang w:val="uk"/>
        </w:rPr>
        <w:t xml:space="preserve"> до росту рівня заробітної плати збільшились також відрахування на соціальні заходи.</w:t>
      </w:r>
    </w:p>
    <w:p w14:paraId="666D44F3" w14:textId="77777777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</w:pPr>
    </w:p>
    <w:p w14:paraId="08FB175D" w14:textId="77777777" w:rsidR="005406C1" w:rsidRPr="00050345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</w:pPr>
      <w:r w:rsidRPr="00050345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  <w:t>Амортизація основних засобів</w:t>
      </w:r>
    </w:p>
    <w:p w14:paraId="23BC12A5" w14:textId="3C4AC854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Сума </w:t>
      </w:r>
      <w:proofErr w:type="spellStart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амортизації</w:t>
      </w:r>
      <w:proofErr w:type="spellEnd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розрахована</w:t>
      </w:r>
      <w:proofErr w:type="spellEnd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</w:t>
      </w:r>
      <w:proofErr w:type="spellEnd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Податкового</w:t>
      </w:r>
      <w:proofErr w:type="spellEnd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кодексу </w:t>
      </w:r>
      <w:proofErr w:type="spellStart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C00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та вартості основних засобів станом на </w:t>
      </w:r>
      <w:r w:rsidRPr="008E38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</w:t>
      </w:r>
      <w:r w:rsidR="00A14B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8E38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E38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Pr="008E3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23FED7" w14:textId="77777777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</w:pPr>
    </w:p>
    <w:p w14:paraId="5CF428BD" w14:textId="77777777" w:rsidR="005406C1" w:rsidRPr="00D3501F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</w:pPr>
      <w:r w:rsidRPr="00D3501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  <w:t>Податки і збори</w:t>
      </w:r>
    </w:p>
    <w:p w14:paraId="1DCBC211" w14:textId="6AA5F7C2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Витрати</w:t>
      </w:r>
      <w:proofErr w:type="spellEnd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A14B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єдиний податок</w:t>
      </w:r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заплановані</w:t>
      </w:r>
      <w:proofErr w:type="spellEnd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факту</w:t>
      </w:r>
      <w:proofErr w:type="gramEnd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</w:t>
      </w:r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року та </w:t>
      </w:r>
      <w:proofErr w:type="spellStart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декларації</w:t>
      </w:r>
      <w:proofErr w:type="spellEnd"/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</w:t>
      </w:r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Pr="00050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роки.</w:t>
      </w:r>
    </w:p>
    <w:p w14:paraId="2CE0B83B" w14:textId="77777777" w:rsidR="005406C1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</w:pPr>
    </w:p>
    <w:p w14:paraId="44086FCC" w14:textId="77777777" w:rsidR="005406C1" w:rsidRPr="00F93090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</w:pPr>
      <w:r w:rsidRPr="00F93090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val="uk"/>
        </w:rPr>
        <w:t>Плановий прибуток (обігові кошти)</w:t>
      </w:r>
    </w:p>
    <w:p w14:paraId="12B5C013" w14:textId="75D91C4B" w:rsidR="005406C1" w:rsidRPr="0050746B" w:rsidRDefault="005406C1" w:rsidP="005406C1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</w:pPr>
      <w:r w:rsidRPr="0050746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 xml:space="preserve">Відповідно до п. 27 Порядку № 869 у тарифах на теплову енергію, </w:t>
      </w:r>
      <w:r w:rsidR="00A14BF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>ї</w:t>
      </w:r>
      <w:r w:rsidRPr="0050746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 xml:space="preserve">ї виробництво, транспортування та постачання враховані обігові кошти за рахунок планового прибутку в обсязі, що складає </w:t>
      </w:r>
      <w:r w:rsidR="00A14BF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>10,5</w:t>
      </w:r>
      <w:r w:rsidRPr="0050746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"/>
        </w:rPr>
        <w:t>% від повної планової собівартості теплової енергії.</w:t>
      </w:r>
    </w:p>
    <w:bookmarkEnd w:id="1"/>
    <w:p w14:paraId="054F45D5" w14:textId="77777777" w:rsidR="005406C1" w:rsidRDefault="005406C1" w:rsidP="005406C1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"/>
        </w:rPr>
      </w:pPr>
    </w:p>
    <w:p w14:paraId="4D36C103" w14:textId="77777777" w:rsidR="005406C1" w:rsidRDefault="005406C1" w:rsidP="005406C1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"/>
        </w:rPr>
      </w:pPr>
    </w:p>
    <w:p w14:paraId="4897789D" w14:textId="77777777" w:rsidR="00BA3AC1" w:rsidRPr="00AC62AC" w:rsidRDefault="00BA3AC1" w:rsidP="00BA3AC1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"/>
        </w:rPr>
      </w:pPr>
      <w:r w:rsidRPr="00AC62AC">
        <w:rPr>
          <w:rFonts w:ascii="Times New Roman" w:hAnsi="Times New Roman" w:cs="Times New Roman"/>
          <w:b/>
          <w:bCs/>
          <w:sz w:val="24"/>
          <w:szCs w:val="24"/>
          <w:lang w:val="uk"/>
        </w:rPr>
        <w:t xml:space="preserve">Порівняльна таблиця запропонованих проектів (планових) </w:t>
      </w:r>
      <w:r>
        <w:rPr>
          <w:rFonts w:ascii="Times New Roman" w:hAnsi="Times New Roman" w:cs="Times New Roman"/>
          <w:b/>
          <w:bCs/>
          <w:sz w:val="24"/>
          <w:szCs w:val="24"/>
          <w:lang w:val="uk"/>
        </w:rPr>
        <w:t xml:space="preserve">                                    </w:t>
      </w:r>
      <w:r w:rsidRPr="00AC62AC">
        <w:rPr>
          <w:rFonts w:ascii="Times New Roman" w:hAnsi="Times New Roman" w:cs="Times New Roman"/>
          <w:b/>
          <w:bCs/>
          <w:sz w:val="24"/>
          <w:szCs w:val="24"/>
          <w:lang w:val="uk"/>
        </w:rPr>
        <w:t>тарифів до діючих на даний час.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1985"/>
        <w:gridCol w:w="1276"/>
        <w:gridCol w:w="1417"/>
      </w:tblGrid>
      <w:tr w:rsidR="00BA3AC1" w:rsidRPr="00827E83" w14:paraId="1BAD8C3B" w14:textId="77777777" w:rsidTr="009552A9">
        <w:trPr>
          <w:trHeight w:val="3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7C8" w14:textId="77777777" w:rsidR="00BA3AC1" w:rsidRPr="00827E83" w:rsidRDefault="00BA3AC1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Групи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споживачів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150" w14:textId="77777777" w:rsidR="00BA3AC1" w:rsidRPr="00827E83" w:rsidRDefault="00BA3AC1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один.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вим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512" w14:textId="77777777" w:rsidR="00BA3AC1" w:rsidRPr="00827E83" w:rsidRDefault="00BA3AC1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Тариф,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який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застосовується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споживачів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 ПДВ,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85032" w14:textId="77777777" w:rsidR="00BA3AC1" w:rsidRPr="00827E83" w:rsidRDefault="00BA3AC1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Встановлений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тариф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71E6" w14:textId="77777777" w:rsidR="00BA3AC1" w:rsidRPr="00827E83" w:rsidRDefault="00BA3AC1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 тарифу з ПДВ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EF7" w14:textId="77777777" w:rsidR="00BA3AC1" w:rsidRPr="00827E83" w:rsidRDefault="00BA3AC1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підвищення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зменшення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тарифу</w:t>
            </w:r>
            <w:proofErr w:type="gramEnd"/>
          </w:p>
        </w:tc>
      </w:tr>
      <w:tr w:rsidR="00BA3AC1" w:rsidRPr="00827E83" w14:paraId="28AA0B3C" w14:textId="77777777" w:rsidTr="009552A9">
        <w:trPr>
          <w:trHeight w:val="15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6662" w14:textId="77777777" w:rsidR="00BA3AC1" w:rsidRPr="00827E83" w:rsidRDefault="00BA3AC1" w:rsidP="009552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AB38" w14:textId="77777777" w:rsidR="00BA3AC1" w:rsidRPr="00827E83" w:rsidRDefault="00BA3AC1" w:rsidP="009552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79A8" w14:textId="77777777" w:rsidR="00BA3AC1" w:rsidRPr="00827E83" w:rsidRDefault="00BA3AC1" w:rsidP="009552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4AD" w14:textId="037A4EBC" w:rsidR="00BA3AC1" w:rsidRPr="00827E83" w:rsidRDefault="00BA3AC1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затверджений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рішенням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виконавчого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комітету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Коростенської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міської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ради №</w:t>
            </w:r>
            <w:r w:rsidR="002F2F64">
              <w:t xml:space="preserve"> </w:t>
            </w:r>
            <w:r w:rsidR="002F2F64" w:rsidRPr="002F2F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319 від 17.08.22р</w:t>
            </w:r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781A" w14:textId="77777777" w:rsidR="00BA3AC1" w:rsidRPr="00827E83" w:rsidRDefault="00BA3AC1" w:rsidP="009552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3C9C" w14:textId="77777777" w:rsidR="00BA3AC1" w:rsidRPr="00827E83" w:rsidRDefault="00BA3AC1" w:rsidP="009552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AC1" w:rsidRPr="00827E83" w14:paraId="0AE4BD68" w14:textId="77777777" w:rsidTr="009552A9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29DBC3" w14:textId="77777777" w:rsidR="00BA3AC1" w:rsidRPr="00827E83" w:rsidRDefault="00BA3AC1" w:rsidP="009552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Тариф на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теплову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енергію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інших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споживачів</w:t>
            </w:r>
            <w:proofErr w:type="spellEnd"/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E08968" w14:textId="77777777" w:rsidR="00BA3AC1" w:rsidRPr="00827E83" w:rsidRDefault="00BA3AC1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7E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040BC9" w14:textId="5DAAF764" w:rsidR="00BA3AC1" w:rsidRPr="002F2F64" w:rsidRDefault="002F2F64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2791,84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44EFEA" w14:textId="68263807" w:rsidR="00BA3AC1" w:rsidRPr="00827E83" w:rsidRDefault="002F2F64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2791,84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B4D24D" w14:textId="7D1E1545" w:rsidR="00BA3AC1" w:rsidRPr="007E609C" w:rsidRDefault="002F2F64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2980,50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F4BC33" w14:textId="269B2ECD" w:rsidR="00BA3AC1" w:rsidRPr="007E609C" w:rsidRDefault="002F2F64" w:rsidP="009552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6,6%</w:t>
            </w:r>
          </w:p>
        </w:tc>
      </w:tr>
    </w:tbl>
    <w:p w14:paraId="79AB809D" w14:textId="77777777" w:rsidR="00BA3AC1" w:rsidRDefault="00BA3AC1" w:rsidP="00BA3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  <w:lang w:val="uk"/>
        </w:rPr>
      </w:pPr>
    </w:p>
    <w:p w14:paraId="43720404" w14:textId="77777777" w:rsidR="00BA3AC1" w:rsidRDefault="00BA3AC1" w:rsidP="00BA3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hd w:val="clear" w:color="auto" w:fill="FFFFFF"/>
          <w:lang w:val="uk"/>
        </w:rPr>
      </w:pPr>
    </w:p>
    <w:p w14:paraId="59E826BD" w14:textId="77777777" w:rsidR="002B0E54" w:rsidRDefault="002B0E54" w:rsidP="00BA3AC1">
      <w:pPr>
        <w:spacing w:after="0" w:line="10" w:lineRule="atLeast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uk"/>
        </w:rPr>
      </w:pPr>
    </w:p>
    <w:p w14:paraId="6A7537BB" w14:textId="77777777" w:rsidR="002B0E54" w:rsidRDefault="002B0E54" w:rsidP="00BA3AC1">
      <w:pPr>
        <w:spacing w:after="0" w:line="10" w:lineRule="atLeast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uk"/>
        </w:rPr>
      </w:pPr>
    </w:p>
    <w:p w14:paraId="363EA762" w14:textId="77777777" w:rsidR="002B0E54" w:rsidRDefault="002B0E54" w:rsidP="00BA3AC1">
      <w:pPr>
        <w:spacing w:after="0" w:line="10" w:lineRule="atLeast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uk"/>
        </w:rPr>
      </w:pPr>
    </w:p>
    <w:p w14:paraId="7986A086" w14:textId="77777777" w:rsidR="002B0E54" w:rsidRDefault="002B0E54" w:rsidP="00BA3AC1">
      <w:pPr>
        <w:spacing w:after="0" w:line="10" w:lineRule="atLeast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uk"/>
        </w:rPr>
      </w:pPr>
    </w:p>
    <w:p w14:paraId="0E7A2E5E" w14:textId="77777777" w:rsidR="002B0E54" w:rsidRDefault="002B0E54" w:rsidP="00BA3AC1">
      <w:pPr>
        <w:spacing w:after="0" w:line="10" w:lineRule="atLeast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uk"/>
        </w:rPr>
      </w:pPr>
    </w:p>
    <w:p w14:paraId="58D76A73" w14:textId="5B1BA806" w:rsidR="002F2F64" w:rsidRDefault="002F2F64" w:rsidP="00BA3AC1">
      <w:pPr>
        <w:spacing w:after="0" w:line="10" w:lineRule="atLeast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uk"/>
        </w:rPr>
      </w:pPr>
    </w:p>
    <w:p w14:paraId="50102084" w14:textId="77777777" w:rsidR="002B0E54" w:rsidRDefault="002B0E54" w:rsidP="00662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35D3313" w14:textId="0051755D" w:rsidR="00662CDA" w:rsidRPr="002F2F64" w:rsidRDefault="002F2F64" w:rsidP="0066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F2F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Структура </w:t>
      </w:r>
      <w:proofErr w:type="spellStart"/>
      <w:r w:rsidRPr="002F2F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тарифів</w:t>
      </w:r>
      <w:proofErr w:type="spellEnd"/>
      <w:r w:rsidRPr="002F2F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62CDA" w:rsidRPr="002F2F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теплову енергію, що виробляється на установках з використанням альтернативних джерел енергії</w:t>
      </w:r>
      <w:r w:rsidR="00662CDA" w:rsidRPr="00662C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ТОВ «ПОЛІССЯ ЕКО ЕНЕРГО»</w:t>
      </w:r>
    </w:p>
    <w:p w14:paraId="5E9BBE40" w14:textId="597D5577" w:rsidR="002F2F64" w:rsidRPr="002F2F64" w:rsidRDefault="002F2F64" w:rsidP="002F2F64">
      <w:pPr>
        <w:spacing w:after="0" w:line="1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14:paraId="46EDCCBE" w14:textId="77777777" w:rsidR="002F2F64" w:rsidRPr="002F2F64" w:rsidRDefault="002F2F64" w:rsidP="002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943" w:type="dxa"/>
        <w:tblInd w:w="-147" w:type="dxa"/>
        <w:tblLook w:val="00A0" w:firstRow="1" w:lastRow="0" w:firstColumn="1" w:lastColumn="0" w:noHBand="0" w:noVBand="0"/>
      </w:tblPr>
      <w:tblGrid>
        <w:gridCol w:w="6206"/>
        <w:gridCol w:w="2016"/>
        <w:gridCol w:w="1701"/>
        <w:gridCol w:w="20"/>
      </w:tblGrid>
      <w:tr w:rsidR="008166A7" w:rsidRPr="008166A7" w14:paraId="771A02AE" w14:textId="77777777" w:rsidTr="008166A7">
        <w:trPr>
          <w:trHeight w:val="347"/>
        </w:trPr>
        <w:tc>
          <w:tcPr>
            <w:tcW w:w="6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176" w14:textId="77777777" w:rsidR="008166A7" w:rsidRPr="008166A7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81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  <w:tc>
          <w:tcPr>
            <w:tcW w:w="3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498058F" w14:textId="0CAA96F0" w:rsidR="008166A7" w:rsidRPr="008166A7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1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інших споживачів</w:t>
            </w:r>
          </w:p>
        </w:tc>
      </w:tr>
      <w:tr w:rsidR="008166A7" w:rsidRPr="008166A7" w14:paraId="15CA0DCD" w14:textId="77777777" w:rsidTr="008166A7">
        <w:trPr>
          <w:trHeight w:val="86"/>
        </w:trPr>
        <w:tc>
          <w:tcPr>
            <w:tcW w:w="6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D535" w14:textId="77777777" w:rsidR="008166A7" w:rsidRPr="008166A7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1FCD" w14:textId="77777777" w:rsidR="008166A7" w:rsidRPr="008166A7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  <w:r w:rsidRPr="0081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81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FB9A" w14:textId="77777777" w:rsidR="008166A7" w:rsidRPr="008166A7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грн/Гкал</w:t>
            </w:r>
          </w:p>
        </w:tc>
      </w:tr>
      <w:tr w:rsidR="008166A7" w:rsidRPr="002F2F64" w14:paraId="3DC9D2EB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77578121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Виробнича собівартість</w:t>
            </w:r>
          </w:p>
        </w:tc>
        <w:tc>
          <w:tcPr>
            <w:tcW w:w="2016" w:type="dxa"/>
          </w:tcPr>
          <w:p w14:paraId="7301D22F" w14:textId="146E9986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8455,74</w:t>
            </w:r>
          </w:p>
        </w:tc>
        <w:tc>
          <w:tcPr>
            <w:tcW w:w="1701" w:type="dxa"/>
          </w:tcPr>
          <w:p w14:paraId="27E95760" w14:textId="3C49D3A8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2427,10</w:t>
            </w:r>
          </w:p>
        </w:tc>
      </w:tr>
      <w:tr w:rsidR="008166A7" w:rsidRPr="002F2F64" w14:paraId="1A124B7D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02AD616F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Виробничі послуги</w:t>
            </w:r>
          </w:p>
        </w:tc>
        <w:tc>
          <w:tcPr>
            <w:tcW w:w="2016" w:type="dxa"/>
          </w:tcPr>
          <w:p w14:paraId="507F8D8E" w14:textId="72046758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8665D33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1B45A9BD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4AE6CBB5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Сировина і допоміжні матеріали</w:t>
            </w:r>
          </w:p>
        </w:tc>
        <w:tc>
          <w:tcPr>
            <w:tcW w:w="2016" w:type="dxa"/>
          </w:tcPr>
          <w:p w14:paraId="1321BBAB" w14:textId="72487A8F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174,29</w:t>
            </w:r>
          </w:p>
        </w:tc>
        <w:tc>
          <w:tcPr>
            <w:tcW w:w="1701" w:type="dxa"/>
          </w:tcPr>
          <w:p w14:paraId="10294B97" w14:textId="5D055C7C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50,03</w:t>
            </w:r>
          </w:p>
        </w:tc>
      </w:tr>
      <w:tr w:rsidR="008166A7" w:rsidRPr="002F2F64" w14:paraId="2D645580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5A8D6EE2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Паливо </w:t>
            </w:r>
          </w:p>
        </w:tc>
        <w:tc>
          <w:tcPr>
            <w:tcW w:w="2016" w:type="dxa"/>
          </w:tcPr>
          <w:p w14:paraId="7EE3A8EB" w14:textId="525EB278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5462,74</w:t>
            </w:r>
          </w:p>
        </w:tc>
        <w:tc>
          <w:tcPr>
            <w:tcW w:w="1701" w:type="dxa"/>
          </w:tcPr>
          <w:p w14:paraId="7ED430E2" w14:textId="6EB1DD0E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1568,00</w:t>
            </w:r>
          </w:p>
        </w:tc>
      </w:tr>
      <w:tr w:rsidR="008166A7" w:rsidRPr="002F2F64" w14:paraId="4B1C71BF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7D30CBAA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Енергія зі сторони (електроенергія)</w:t>
            </w:r>
          </w:p>
        </w:tc>
        <w:tc>
          <w:tcPr>
            <w:tcW w:w="2016" w:type="dxa"/>
          </w:tcPr>
          <w:p w14:paraId="5402337D" w14:textId="6C8D38AD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668,01</w:t>
            </w:r>
          </w:p>
        </w:tc>
        <w:tc>
          <w:tcPr>
            <w:tcW w:w="1701" w:type="dxa"/>
          </w:tcPr>
          <w:p w14:paraId="737E30A0" w14:textId="3E375DC4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191,74</w:t>
            </w:r>
          </w:p>
        </w:tc>
      </w:tr>
      <w:tr w:rsidR="008166A7" w:rsidRPr="002F2F64" w14:paraId="4C9AD336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1D447D89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</w:t>
            </w:r>
          </w:p>
        </w:tc>
        <w:tc>
          <w:tcPr>
            <w:tcW w:w="2016" w:type="dxa"/>
          </w:tcPr>
          <w:p w14:paraId="6790BFBE" w14:textId="01105E23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1512,00</w:t>
            </w:r>
          </w:p>
        </w:tc>
        <w:tc>
          <w:tcPr>
            <w:tcW w:w="1701" w:type="dxa"/>
          </w:tcPr>
          <w:p w14:paraId="3718C719" w14:textId="5C262CDD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434,00</w:t>
            </w:r>
          </w:p>
        </w:tc>
      </w:tr>
      <w:tr w:rsidR="008166A7" w:rsidRPr="002F2F64" w14:paraId="49E0BB29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6AA5A33E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до соціальних фондів</w:t>
            </w:r>
          </w:p>
        </w:tc>
        <w:tc>
          <w:tcPr>
            <w:tcW w:w="2016" w:type="dxa"/>
          </w:tcPr>
          <w:p w14:paraId="6F747F8D" w14:textId="26C5187C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332,64</w:t>
            </w:r>
          </w:p>
        </w:tc>
        <w:tc>
          <w:tcPr>
            <w:tcW w:w="1701" w:type="dxa"/>
          </w:tcPr>
          <w:p w14:paraId="634E31FE" w14:textId="289DFBBF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95,48</w:t>
            </w:r>
          </w:p>
        </w:tc>
      </w:tr>
      <w:tr w:rsidR="008166A7" w:rsidRPr="002F2F64" w14:paraId="6A83E64C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4D78DE39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</w:t>
            </w:r>
          </w:p>
        </w:tc>
        <w:tc>
          <w:tcPr>
            <w:tcW w:w="2016" w:type="dxa"/>
          </w:tcPr>
          <w:p w14:paraId="30F211BE" w14:textId="778E905D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84,25</w:t>
            </w:r>
          </w:p>
        </w:tc>
        <w:tc>
          <w:tcPr>
            <w:tcW w:w="1701" w:type="dxa"/>
          </w:tcPr>
          <w:p w14:paraId="519F621D" w14:textId="68327A5E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24,18</w:t>
            </w:r>
          </w:p>
        </w:tc>
      </w:tr>
      <w:tr w:rsidR="008166A7" w:rsidRPr="002F2F64" w14:paraId="4E8BDEBF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6126E3CC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витрати</w:t>
            </w:r>
          </w:p>
        </w:tc>
        <w:tc>
          <w:tcPr>
            <w:tcW w:w="2016" w:type="dxa"/>
          </w:tcPr>
          <w:p w14:paraId="2BFE026B" w14:textId="012230C4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221,81</w:t>
            </w:r>
          </w:p>
        </w:tc>
        <w:tc>
          <w:tcPr>
            <w:tcW w:w="1701" w:type="dxa"/>
          </w:tcPr>
          <w:p w14:paraId="4AAF9FA2" w14:textId="5437496E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63,67</w:t>
            </w:r>
          </w:p>
        </w:tc>
      </w:tr>
      <w:tr w:rsidR="008166A7" w:rsidRPr="002F2F64" w14:paraId="3A4DE2D9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66ED1782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2016" w:type="dxa"/>
          </w:tcPr>
          <w:p w14:paraId="30ABB310" w14:textId="2A96B10C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527,04</w:t>
            </w:r>
          </w:p>
        </w:tc>
        <w:tc>
          <w:tcPr>
            <w:tcW w:w="1701" w:type="dxa"/>
          </w:tcPr>
          <w:p w14:paraId="460148AD" w14:textId="78F4EDF1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151,28</w:t>
            </w:r>
          </w:p>
        </w:tc>
      </w:tr>
      <w:tr w:rsidR="008166A7" w:rsidRPr="002F2F64" w14:paraId="2BB81016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59047C0B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Матеріальні витрати</w:t>
            </w:r>
          </w:p>
        </w:tc>
        <w:tc>
          <w:tcPr>
            <w:tcW w:w="2016" w:type="dxa"/>
          </w:tcPr>
          <w:p w14:paraId="1C178A57" w14:textId="7212EB4A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E22E500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1C4C8D35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4F4DE2B9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оплату праці</w:t>
            </w:r>
          </w:p>
        </w:tc>
        <w:tc>
          <w:tcPr>
            <w:tcW w:w="2016" w:type="dxa"/>
          </w:tcPr>
          <w:p w14:paraId="79FFBF07" w14:textId="644A8390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432,00</w:t>
            </w:r>
          </w:p>
        </w:tc>
        <w:tc>
          <w:tcPr>
            <w:tcW w:w="1701" w:type="dxa"/>
          </w:tcPr>
          <w:p w14:paraId="635057FE" w14:textId="2F37B61D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124,00</w:t>
            </w:r>
          </w:p>
        </w:tc>
      </w:tr>
      <w:tr w:rsidR="008166A7" w:rsidRPr="002F2F64" w14:paraId="3A56823A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3FD1ED3D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Відрахування до соціальних фондів</w:t>
            </w:r>
          </w:p>
        </w:tc>
        <w:tc>
          <w:tcPr>
            <w:tcW w:w="2016" w:type="dxa"/>
          </w:tcPr>
          <w:p w14:paraId="738725D5" w14:textId="13A73DBF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95,04</w:t>
            </w:r>
          </w:p>
        </w:tc>
        <w:tc>
          <w:tcPr>
            <w:tcW w:w="1701" w:type="dxa"/>
          </w:tcPr>
          <w:p w14:paraId="22C35311" w14:textId="1D393042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27,28</w:t>
            </w:r>
          </w:p>
        </w:tc>
      </w:tr>
      <w:tr w:rsidR="008166A7" w:rsidRPr="002F2F64" w14:paraId="5BC0E5D4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23CEB6C0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Амортизаційні відрахування</w:t>
            </w:r>
          </w:p>
        </w:tc>
        <w:tc>
          <w:tcPr>
            <w:tcW w:w="2016" w:type="dxa"/>
          </w:tcPr>
          <w:p w14:paraId="4C45A8C2" w14:textId="11F874E6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767FF7B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7397910D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123DCF2F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витрати</w:t>
            </w:r>
          </w:p>
        </w:tc>
        <w:tc>
          <w:tcPr>
            <w:tcW w:w="2016" w:type="dxa"/>
          </w:tcPr>
          <w:p w14:paraId="6841F764" w14:textId="03A94AFD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5BCB5CF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25A68EFF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18A48B2C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2016" w:type="dxa"/>
          </w:tcPr>
          <w:p w14:paraId="7B7BDCBD" w14:textId="113A2C10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414,29</w:t>
            </w:r>
          </w:p>
        </w:tc>
        <w:tc>
          <w:tcPr>
            <w:tcW w:w="1701" w:type="dxa"/>
          </w:tcPr>
          <w:p w14:paraId="59D042FB" w14:textId="135DDEA9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118,91</w:t>
            </w:r>
          </w:p>
        </w:tc>
      </w:tr>
      <w:tr w:rsidR="008166A7" w:rsidRPr="002F2F64" w14:paraId="63C09930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01C89120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розвиток</w:t>
            </w:r>
          </w:p>
        </w:tc>
        <w:tc>
          <w:tcPr>
            <w:tcW w:w="2016" w:type="dxa"/>
          </w:tcPr>
          <w:p w14:paraId="06742CDB" w14:textId="7FB91BCE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1E971D4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4CAC3883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6EC1A675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дослідження та розробку</w:t>
            </w:r>
          </w:p>
        </w:tc>
        <w:tc>
          <w:tcPr>
            <w:tcW w:w="2016" w:type="dxa"/>
          </w:tcPr>
          <w:p w14:paraId="161BBAC3" w14:textId="7B6C9E4D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0D87FD0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76979C1E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0600CD4A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(Єдиний податок 5%)</w:t>
            </w:r>
          </w:p>
        </w:tc>
        <w:tc>
          <w:tcPr>
            <w:tcW w:w="2016" w:type="dxa"/>
          </w:tcPr>
          <w:p w14:paraId="67D03F3C" w14:textId="105C97A3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414,29</w:t>
            </w:r>
          </w:p>
        </w:tc>
        <w:tc>
          <w:tcPr>
            <w:tcW w:w="1701" w:type="dxa"/>
          </w:tcPr>
          <w:p w14:paraId="3B16D935" w14:textId="51281BE0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118,91</w:t>
            </w:r>
          </w:p>
        </w:tc>
      </w:tr>
      <w:tr w:rsidR="008166A7" w:rsidRPr="002F2F64" w14:paraId="51817DA0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314D313F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(Відсотки за кредит)</w:t>
            </w:r>
          </w:p>
        </w:tc>
        <w:tc>
          <w:tcPr>
            <w:tcW w:w="2016" w:type="dxa"/>
          </w:tcPr>
          <w:p w14:paraId="79670B96" w14:textId="4B31F0FA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1346132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5AC6E966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6FBD4162" w14:textId="41347550" w:rsidR="008166A7" w:rsidRPr="002F2F64" w:rsidRDefault="00662CDA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Повна собівартість</w:t>
            </w:r>
          </w:p>
        </w:tc>
        <w:tc>
          <w:tcPr>
            <w:tcW w:w="2016" w:type="dxa"/>
          </w:tcPr>
          <w:p w14:paraId="4A82453C" w14:textId="6B9EB17B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9397,07</w:t>
            </w:r>
          </w:p>
        </w:tc>
        <w:tc>
          <w:tcPr>
            <w:tcW w:w="1701" w:type="dxa"/>
          </w:tcPr>
          <w:p w14:paraId="02A6F9B9" w14:textId="286B3000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2697,29</w:t>
            </w:r>
          </w:p>
        </w:tc>
      </w:tr>
      <w:tr w:rsidR="008166A7" w:rsidRPr="002F2F64" w14:paraId="61A44013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5ED281A1" w14:textId="6D0688BE" w:rsidR="008166A7" w:rsidRPr="002F2F64" w:rsidRDefault="00662CDA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66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66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016" w:type="dxa"/>
          </w:tcPr>
          <w:p w14:paraId="4CC3D887" w14:textId="41A9741E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986,69</w:t>
            </w:r>
          </w:p>
        </w:tc>
        <w:tc>
          <w:tcPr>
            <w:tcW w:w="1701" w:type="dxa"/>
          </w:tcPr>
          <w:p w14:paraId="1056811F" w14:textId="2264DC36" w:rsidR="008166A7" w:rsidRPr="002F2F64" w:rsidRDefault="00662CDA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283,21</w:t>
            </w:r>
          </w:p>
        </w:tc>
      </w:tr>
      <w:tr w:rsidR="008166A7" w:rsidRPr="002F2F64" w14:paraId="49DA31DE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753B137B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2016" w:type="dxa"/>
          </w:tcPr>
          <w:p w14:paraId="76675C2D" w14:textId="1CD88056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6482C58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69C452F0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52B7DBE7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Нерозподілений прибуток</w:t>
            </w:r>
          </w:p>
        </w:tc>
        <w:tc>
          <w:tcPr>
            <w:tcW w:w="2016" w:type="dxa"/>
          </w:tcPr>
          <w:p w14:paraId="727C06FB" w14:textId="3F1CE105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986,69</w:t>
            </w:r>
          </w:p>
        </w:tc>
        <w:tc>
          <w:tcPr>
            <w:tcW w:w="1701" w:type="dxa"/>
          </w:tcPr>
          <w:p w14:paraId="1B24B1C3" w14:textId="365FABBA" w:rsidR="008166A7" w:rsidRPr="002F2F64" w:rsidRDefault="00662CDA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283,21</w:t>
            </w:r>
          </w:p>
        </w:tc>
      </w:tr>
      <w:tr w:rsidR="008166A7" w:rsidRPr="002F2F64" w14:paraId="32166906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2BAEBDDF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дивіденди</w:t>
            </w:r>
          </w:p>
        </w:tc>
        <w:tc>
          <w:tcPr>
            <w:tcW w:w="2016" w:type="dxa"/>
          </w:tcPr>
          <w:p w14:paraId="69B6D113" w14:textId="51F15D06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57FC788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4B132739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20C7E2FF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резервний капітал</w:t>
            </w:r>
          </w:p>
        </w:tc>
        <w:tc>
          <w:tcPr>
            <w:tcW w:w="2016" w:type="dxa"/>
          </w:tcPr>
          <w:p w14:paraId="2F5C25FB" w14:textId="338A91B6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29E3C0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22279519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38D493E5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інше використання прибутку (з податком на прибуток)</w:t>
            </w:r>
          </w:p>
        </w:tc>
        <w:tc>
          <w:tcPr>
            <w:tcW w:w="2016" w:type="dxa"/>
          </w:tcPr>
          <w:p w14:paraId="4E3A7808" w14:textId="6604C77C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41B9B75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4F39556E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638F9F65" w14:textId="77777777" w:rsidR="008166A7" w:rsidRPr="002F2F64" w:rsidRDefault="008166A7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інше використання прибутку (без податку на прибуток)</w:t>
            </w:r>
          </w:p>
        </w:tc>
        <w:tc>
          <w:tcPr>
            <w:tcW w:w="2016" w:type="dxa"/>
          </w:tcPr>
          <w:p w14:paraId="17E2D231" w14:textId="3CA12838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986,69</w:t>
            </w:r>
          </w:p>
        </w:tc>
        <w:tc>
          <w:tcPr>
            <w:tcW w:w="1701" w:type="dxa"/>
          </w:tcPr>
          <w:p w14:paraId="73A655E0" w14:textId="19A3DD3D" w:rsidR="008166A7" w:rsidRPr="002F2F64" w:rsidRDefault="00662CDA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283,21</w:t>
            </w:r>
          </w:p>
        </w:tc>
      </w:tr>
      <w:tr w:rsidR="008166A7" w:rsidRPr="002F2F64" w14:paraId="5C05C364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658F3BE5" w14:textId="47AA4581" w:rsidR="008166A7" w:rsidRPr="002F2F64" w:rsidRDefault="00662CDA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66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66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теплової</w:t>
            </w:r>
            <w:proofErr w:type="spellEnd"/>
            <w:r w:rsidRPr="0066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енергії</w:t>
            </w:r>
            <w:proofErr w:type="spellEnd"/>
            <w:r w:rsidRPr="0066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6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відповідними</w:t>
            </w:r>
            <w:proofErr w:type="spellEnd"/>
            <w:r w:rsidRPr="00662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тарифами</w:t>
            </w:r>
          </w:p>
        </w:tc>
        <w:tc>
          <w:tcPr>
            <w:tcW w:w="2016" w:type="dxa"/>
          </w:tcPr>
          <w:p w14:paraId="42F99F5A" w14:textId="05F8CBC9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10383,76</w:t>
            </w:r>
          </w:p>
        </w:tc>
        <w:tc>
          <w:tcPr>
            <w:tcW w:w="1701" w:type="dxa"/>
          </w:tcPr>
          <w:p w14:paraId="1A3ECAAC" w14:textId="77777777" w:rsidR="008166A7" w:rsidRDefault="00662CDA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2980,50</w:t>
            </w:r>
          </w:p>
          <w:p w14:paraId="7D630D64" w14:textId="66565D1B" w:rsidR="00662CDA" w:rsidRPr="002F2F64" w:rsidRDefault="00662CDA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8166A7" w:rsidRPr="002F2F64" w14:paraId="0C42DDFF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6425BC27" w14:textId="02D27225" w:rsidR="008166A7" w:rsidRPr="002F2F64" w:rsidRDefault="00662CDA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62CDA">
              <w:rPr>
                <w:rFonts w:ascii="Times New Roman" w:hAnsi="Times New Roman" w:cs="Times New Roman"/>
                <w:sz w:val="24"/>
                <w:szCs w:val="24"/>
              </w:rPr>
              <w:t xml:space="preserve">Тариф на </w:t>
            </w:r>
            <w:proofErr w:type="spellStart"/>
            <w:r w:rsidRPr="00662CDA">
              <w:rPr>
                <w:rFonts w:ascii="Times New Roman" w:hAnsi="Times New Roman" w:cs="Times New Roman"/>
                <w:sz w:val="24"/>
                <w:szCs w:val="24"/>
              </w:rPr>
              <w:t>теплову</w:t>
            </w:r>
            <w:proofErr w:type="spellEnd"/>
            <w:r w:rsidRPr="00662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CDA">
              <w:rPr>
                <w:rFonts w:ascii="Times New Roman" w:hAnsi="Times New Roman" w:cs="Times New Roman"/>
                <w:sz w:val="24"/>
                <w:szCs w:val="24"/>
              </w:rPr>
              <w:t>енергію</w:t>
            </w:r>
            <w:proofErr w:type="spellEnd"/>
            <w:r w:rsidRPr="00662CDA">
              <w:rPr>
                <w:rFonts w:ascii="Times New Roman" w:hAnsi="Times New Roman" w:cs="Times New Roman"/>
                <w:sz w:val="24"/>
                <w:szCs w:val="24"/>
              </w:rPr>
              <w:t>, грн/Гкал з ПДВ</w:t>
            </w:r>
          </w:p>
        </w:tc>
        <w:tc>
          <w:tcPr>
            <w:tcW w:w="2016" w:type="dxa"/>
          </w:tcPr>
          <w:p w14:paraId="16B0026E" w14:textId="5E71A10C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959FCC4" w14:textId="77777777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2980,50</w:t>
            </w:r>
          </w:p>
        </w:tc>
      </w:tr>
      <w:tr w:rsidR="008166A7" w:rsidRPr="002F2F64" w14:paraId="4E3C7F5F" w14:textId="77777777" w:rsidTr="00816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6206" w:type="dxa"/>
          </w:tcPr>
          <w:p w14:paraId="7C4B3D99" w14:textId="0F822E16" w:rsidR="008166A7" w:rsidRPr="002F2F64" w:rsidRDefault="00662CDA" w:rsidP="0081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реалізованої</w:t>
            </w: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теплової енергії у 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тис.Гкал</w:t>
            </w:r>
            <w:proofErr w:type="spellEnd"/>
          </w:p>
        </w:tc>
        <w:tc>
          <w:tcPr>
            <w:tcW w:w="2016" w:type="dxa"/>
          </w:tcPr>
          <w:p w14:paraId="6D871F19" w14:textId="6E82C833" w:rsidR="008166A7" w:rsidRPr="002F2F64" w:rsidRDefault="008166A7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3C1007C" w14:textId="26E9B2F2" w:rsidR="008166A7" w:rsidRPr="002F2F64" w:rsidRDefault="00662CDA" w:rsidP="0081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3,483892</w:t>
            </w:r>
          </w:p>
        </w:tc>
      </w:tr>
    </w:tbl>
    <w:p w14:paraId="6FFC203D" w14:textId="6C5EAF18" w:rsidR="002F2F64" w:rsidRDefault="002F2F64" w:rsidP="002F2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163F84" w14:textId="77777777" w:rsidR="00BA3AC1" w:rsidRPr="00FA6A4A" w:rsidRDefault="00BA3AC1" w:rsidP="00BA3A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809D11" w14:textId="77777777" w:rsidR="00BA3AC1" w:rsidRPr="005406C1" w:rsidRDefault="00BA3AC1" w:rsidP="00BA3AC1">
      <w:pPr>
        <w:shd w:val="clear" w:color="auto" w:fill="FFFFFF"/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5406C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5406C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Управління ЖКГ Коростенської міської ради, 11500, Житомирська область, </w:t>
      </w:r>
      <w:proofErr w:type="spellStart"/>
      <w:r w:rsidRPr="005406C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м.Коростень</w:t>
      </w:r>
      <w:proofErr w:type="spellEnd"/>
      <w:r w:rsidRPr="005406C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, вул. Грушевського,22  </w:t>
      </w:r>
    </w:p>
    <w:p w14:paraId="3A1658FD" w14:textId="4BEEE508" w:rsidR="00BA3AC1" w:rsidRPr="002B0E54" w:rsidRDefault="00BA3AC1" w:rsidP="002B0E54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5406C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- </w:t>
      </w:r>
      <w:r w:rsidR="002B0E5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Товариство з обмеженою відповідальністю «ПОЛІССЯ ЕКО ЕНЕРГО» </w:t>
      </w:r>
      <w:r w:rsidRPr="005406C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, 11500, Житомирська область, </w:t>
      </w:r>
      <w:proofErr w:type="spellStart"/>
      <w:r w:rsidRPr="005406C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м.Коростень</w:t>
      </w:r>
      <w:proofErr w:type="spellEnd"/>
      <w:r w:rsidRPr="005406C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, вул. </w:t>
      </w:r>
      <w:r w:rsidR="002B0E5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Грушевського</w:t>
      </w:r>
      <w:r w:rsidRPr="005406C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, </w:t>
      </w:r>
      <w:r w:rsidR="002B0E5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15, оф.49</w:t>
      </w:r>
      <w:r w:rsidRPr="005406C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0660A427" w14:textId="4C6D9958" w:rsidR="00BA3AC1" w:rsidRPr="00D23BB6" w:rsidRDefault="00BA3AC1" w:rsidP="00BA3AC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3BB6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На електронну </w:t>
      </w:r>
      <w:r w:rsidRPr="00D23BB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адресу– </w:t>
      </w:r>
      <w:r w:rsidR="00841F6E" w:rsidRPr="00D23BB6">
        <w:rPr>
          <w:rFonts w:ascii="Times New Roman" w:hAnsi="Times New Roman" w:cs="Times New Roman"/>
          <w:sz w:val="24"/>
          <w:szCs w:val="24"/>
        </w:rPr>
        <w:t>office.pee@gmail.com</w:t>
      </w:r>
      <w:r w:rsidRPr="00D23BB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D23BB6">
        <w:rPr>
          <w:rFonts w:ascii="Times New Roman" w:hAnsi="Times New Roman" w:cs="Times New Roman"/>
          <w:sz w:val="24"/>
          <w:szCs w:val="24"/>
          <w:u w:val="single"/>
        </w:rPr>
        <w:t>протягом</w:t>
      </w:r>
      <w:proofErr w:type="spellEnd"/>
      <w:r w:rsidRPr="00D23BB6">
        <w:rPr>
          <w:rFonts w:ascii="Times New Roman" w:hAnsi="Times New Roman" w:cs="Times New Roman"/>
          <w:sz w:val="24"/>
          <w:szCs w:val="24"/>
          <w:u w:val="single"/>
        </w:rPr>
        <w:t xml:space="preserve"> 7 </w:t>
      </w:r>
      <w:proofErr w:type="spellStart"/>
      <w:r w:rsidRPr="00D23BB6">
        <w:rPr>
          <w:rFonts w:ascii="Times New Roman" w:hAnsi="Times New Roman" w:cs="Times New Roman"/>
          <w:sz w:val="24"/>
          <w:szCs w:val="24"/>
          <w:u w:val="single"/>
        </w:rPr>
        <w:t>календарних</w:t>
      </w:r>
      <w:proofErr w:type="spellEnd"/>
      <w:r w:rsidRPr="00D23B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23BB6">
        <w:rPr>
          <w:rFonts w:ascii="Times New Roman" w:hAnsi="Times New Roman" w:cs="Times New Roman"/>
          <w:sz w:val="24"/>
          <w:szCs w:val="24"/>
          <w:u w:val="single"/>
        </w:rPr>
        <w:t>дн</w:t>
      </w:r>
      <w:proofErr w:type="spellEnd"/>
      <w:r w:rsidRPr="00D23BB6">
        <w:rPr>
          <w:rFonts w:ascii="Times New Roman" w:hAnsi="Times New Roman" w:cs="Times New Roman"/>
          <w:sz w:val="24"/>
          <w:szCs w:val="24"/>
          <w:u w:val="single"/>
          <w:lang w:val="uk-UA"/>
        </w:rPr>
        <w:t>і</w:t>
      </w:r>
      <w:r w:rsidRPr="00D23BB6">
        <w:rPr>
          <w:rFonts w:ascii="Times New Roman" w:hAnsi="Times New Roman" w:cs="Times New Roman"/>
          <w:sz w:val="24"/>
          <w:szCs w:val="24"/>
          <w:u w:val="single"/>
        </w:rPr>
        <w:t xml:space="preserve">в – до </w:t>
      </w:r>
      <w:r w:rsidR="00D23BB6">
        <w:rPr>
          <w:rFonts w:ascii="Times New Roman" w:hAnsi="Times New Roman" w:cs="Times New Roman"/>
          <w:sz w:val="24"/>
          <w:szCs w:val="24"/>
          <w:u w:val="single"/>
          <w:lang w:val="uk-UA"/>
        </w:rPr>
        <w:t>17</w:t>
      </w:r>
      <w:r w:rsidRPr="00D23BB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3BB6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D23BB6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Pr="00D23BB6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Pr="00D23BB6">
        <w:rPr>
          <w:rFonts w:ascii="Times New Roman" w:hAnsi="Times New Roman" w:cs="Times New Roman"/>
          <w:sz w:val="24"/>
          <w:szCs w:val="24"/>
          <w:u w:val="single"/>
          <w:lang w:val="uk-UA"/>
        </w:rPr>
        <w:t>4</w:t>
      </w:r>
      <w:r w:rsidRPr="00D23BB6">
        <w:rPr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Pr="00D23BB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включно</w:t>
      </w:r>
      <w:r w:rsidRPr="00D23BB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4860F29" w14:textId="1EA29CC9" w:rsidR="006D605F" w:rsidRPr="00D23BB6" w:rsidRDefault="00D23BB6" w:rsidP="00BA3AC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ТОВ «ПОЛІССЯ ЕКО ЕНЕРГО»</w:t>
      </w:r>
    </w:p>
    <w:sectPr w:rsidR="006D605F" w:rsidRPr="00D23BB6" w:rsidSect="00F50280">
      <w:footerReference w:type="default" r:id="rId8"/>
      <w:pgSz w:w="11906" w:h="16838"/>
      <w:pgMar w:top="426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71BFC" w14:textId="77777777" w:rsidR="001C2259" w:rsidRDefault="001C2259" w:rsidP="00532AC3">
      <w:pPr>
        <w:spacing w:after="0" w:line="240" w:lineRule="auto"/>
      </w:pPr>
      <w:r>
        <w:separator/>
      </w:r>
    </w:p>
  </w:endnote>
  <w:endnote w:type="continuationSeparator" w:id="0">
    <w:p w14:paraId="11D4A65F" w14:textId="77777777" w:rsidR="001C2259" w:rsidRDefault="001C2259" w:rsidP="0053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CB45E" w14:textId="77777777" w:rsidR="00B253AB" w:rsidRDefault="00B253AB">
    <w:pPr>
      <w:pStyle w:val="af"/>
    </w:pPr>
  </w:p>
  <w:p w14:paraId="7530327E" w14:textId="77777777" w:rsidR="00B253AB" w:rsidRDefault="00B253A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D3185" w14:textId="77777777" w:rsidR="001C2259" w:rsidRDefault="001C2259" w:rsidP="00532AC3">
      <w:pPr>
        <w:spacing w:after="0" w:line="240" w:lineRule="auto"/>
      </w:pPr>
      <w:r>
        <w:separator/>
      </w:r>
    </w:p>
  </w:footnote>
  <w:footnote w:type="continuationSeparator" w:id="0">
    <w:p w14:paraId="2398F881" w14:textId="77777777" w:rsidR="001C2259" w:rsidRDefault="001C2259" w:rsidP="00532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E35557"/>
    <w:multiLevelType w:val="multilevel"/>
    <w:tmpl w:val="EACA04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658A1"/>
    <w:multiLevelType w:val="multilevel"/>
    <w:tmpl w:val="3AF8B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74C00"/>
    <w:multiLevelType w:val="multilevel"/>
    <w:tmpl w:val="DA0E0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B1676"/>
    <w:multiLevelType w:val="multilevel"/>
    <w:tmpl w:val="E0AEEF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80746"/>
    <w:multiLevelType w:val="hybridMultilevel"/>
    <w:tmpl w:val="E73CAED8"/>
    <w:lvl w:ilvl="0" w:tplc="384063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lang w:val="uk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93407"/>
    <w:multiLevelType w:val="multilevel"/>
    <w:tmpl w:val="AB1A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830A7"/>
    <w:multiLevelType w:val="multilevel"/>
    <w:tmpl w:val="FB4E83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632F9E"/>
    <w:multiLevelType w:val="hybridMultilevel"/>
    <w:tmpl w:val="7C94D148"/>
    <w:lvl w:ilvl="0" w:tplc="5FFC9FEA">
      <w:numFmt w:val="bullet"/>
      <w:lvlText w:val="-"/>
      <w:lvlJc w:val="left"/>
      <w:pPr>
        <w:ind w:left="720" w:hanging="360"/>
      </w:pPr>
      <w:rPr>
        <w:rFonts w:ascii="Arial CYR" w:eastAsia="Times New Roman" w:hAnsi="Arial CYR" w:cs="Arial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2367A"/>
    <w:multiLevelType w:val="multilevel"/>
    <w:tmpl w:val="28745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26E54"/>
    <w:multiLevelType w:val="multilevel"/>
    <w:tmpl w:val="B5340F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0F3088"/>
    <w:multiLevelType w:val="multilevel"/>
    <w:tmpl w:val="B664A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F00D4"/>
    <w:multiLevelType w:val="multilevel"/>
    <w:tmpl w:val="F3BA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858039">
    <w:abstractNumId w:val="6"/>
  </w:num>
  <w:num w:numId="2" w16cid:durableId="14501967">
    <w:abstractNumId w:val="12"/>
  </w:num>
  <w:num w:numId="3" w16cid:durableId="786240951">
    <w:abstractNumId w:val="3"/>
  </w:num>
  <w:num w:numId="4" w16cid:durableId="796488198">
    <w:abstractNumId w:val="11"/>
  </w:num>
  <w:num w:numId="5" w16cid:durableId="1953855496">
    <w:abstractNumId w:val="2"/>
  </w:num>
  <w:num w:numId="6" w16cid:durableId="286469097">
    <w:abstractNumId w:val="9"/>
  </w:num>
  <w:num w:numId="7" w16cid:durableId="75594133">
    <w:abstractNumId w:val="7"/>
  </w:num>
  <w:num w:numId="8" w16cid:durableId="669987919">
    <w:abstractNumId w:val="10"/>
  </w:num>
  <w:num w:numId="9" w16cid:durableId="711542793">
    <w:abstractNumId w:val="1"/>
  </w:num>
  <w:num w:numId="10" w16cid:durableId="49310688">
    <w:abstractNumId w:val="4"/>
  </w:num>
  <w:num w:numId="11" w16cid:durableId="1421952629">
    <w:abstractNumId w:val="8"/>
  </w:num>
  <w:num w:numId="12" w16cid:durableId="1860852135">
    <w:abstractNumId w:val="0"/>
  </w:num>
  <w:num w:numId="13" w16cid:durableId="192040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5F"/>
    <w:rsid w:val="00020110"/>
    <w:rsid w:val="00040961"/>
    <w:rsid w:val="00041439"/>
    <w:rsid w:val="0007359B"/>
    <w:rsid w:val="00073646"/>
    <w:rsid w:val="00095ACC"/>
    <w:rsid w:val="000B2312"/>
    <w:rsid w:val="000C3C5D"/>
    <w:rsid w:val="000D461D"/>
    <w:rsid w:val="000E04F6"/>
    <w:rsid w:val="000F4C3E"/>
    <w:rsid w:val="00101AB2"/>
    <w:rsid w:val="00120887"/>
    <w:rsid w:val="001252B3"/>
    <w:rsid w:val="001253F8"/>
    <w:rsid w:val="00125568"/>
    <w:rsid w:val="00126AFD"/>
    <w:rsid w:val="00171F11"/>
    <w:rsid w:val="0019758E"/>
    <w:rsid w:val="001C2259"/>
    <w:rsid w:val="001C5D87"/>
    <w:rsid w:val="001D735C"/>
    <w:rsid w:val="001E7F53"/>
    <w:rsid w:val="001F4717"/>
    <w:rsid w:val="001F7F14"/>
    <w:rsid w:val="00225E5C"/>
    <w:rsid w:val="002775DE"/>
    <w:rsid w:val="002B0E54"/>
    <w:rsid w:val="002C2AEE"/>
    <w:rsid w:val="002E07C0"/>
    <w:rsid w:val="002F2F64"/>
    <w:rsid w:val="00301C74"/>
    <w:rsid w:val="00301F99"/>
    <w:rsid w:val="003078E3"/>
    <w:rsid w:val="00361EE8"/>
    <w:rsid w:val="00363F95"/>
    <w:rsid w:val="003643E8"/>
    <w:rsid w:val="0039453D"/>
    <w:rsid w:val="003B48DA"/>
    <w:rsid w:val="003D459B"/>
    <w:rsid w:val="003E49CD"/>
    <w:rsid w:val="00430BF1"/>
    <w:rsid w:val="004404B6"/>
    <w:rsid w:val="004429CD"/>
    <w:rsid w:val="00457691"/>
    <w:rsid w:val="00464084"/>
    <w:rsid w:val="004A3B5C"/>
    <w:rsid w:val="004B0527"/>
    <w:rsid w:val="004B627C"/>
    <w:rsid w:val="004B6447"/>
    <w:rsid w:val="004D2AB2"/>
    <w:rsid w:val="004E0317"/>
    <w:rsid w:val="004E5BCA"/>
    <w:rsid w:val="004F1B32"/>
    <w:rsid w:val="00524AA5"/>
    <w:rsid w:val="00532AC3"/>
    <w:rsid w:val="005406C1"/>
    <w:rsid w:val="005508BC"/>
    <w:rsid w:val="00576F8C"/>
    <w:rsid w:val="00577873"/>
    <w:rsid w:val="005A6AC4"/>
    <w:rsid w:val="005B4B6D"/>
    <w:rsid w:val="005C0FCC"/>
    <w:rsid w:val="005E7EFD"/>
    <w:rsid w:val="005F098D"/>
    <w:rsid w:val="0062149D"/>
    <w:rsid w:val="00622564"/>
    <w:rsid w:val="00646A4D"/>
    <w:rsid w:val="00647A95"/>
    <w:rsid w:val="00651F8E"/>
    <w:rsid w:val="00662CDA"/>
    <w:rsid w:val="00671A3C"/>
    <w:rsid w:val="006A5D7E"/>
    <w:rsid w:val="006B32CD"/>
    <w:rsid w:val="006C65E5"/>
    <w:rsid w:val="006C755F"/>
    <w:rsid w:val="006D605F"/>
    <w:rsid w:val="006D795D"/>
    <w:rsid w:val="006E1BED"/>
    <w:rsid w:val="006F66EB"/>
    <w:rsid w:val="00704D59"/>
    <w:rsid w:val="007120A4"/>
    <w:rsid w:val="007335C4"/>
    <w:rsid w:val="0074256A"/>
    <w:rsid w:val="00745629"/>
    <w:rsid w:val="00747EC2"/>
    <w:rsid w:val="0075484E"/>
    <w:rsid w:val="00757685"/>
    <w:rsid w:val="00780F97"/>
    <w:rsid w:val="00793E2C"/>
    <w:rsid w:val="007B3922"/>
    <w:rsid w:val="007C35ED"/>
    <w:rsid w:val="007C7FA1"/>
    <w:rsid w:val="007D3C0B"/>
    <w:rsid w:val="008166A7"/>
    <w:rsid w:val="00841F6E"/>
    <w:rsid w:val="008569A5"/>
    <w:rsid w:val="0086200C"/>
    <w:rsid w:val="0086412C"/>
    <w:rsid w:val="00876B4B"/>
    <w:rsid w:val="008817D8"/>
    <w:rsid w:val="008902B0"/>
    <w:rsid w:val="008A494D"/>
    <w:rsid w:val="008B26EE"/>
    <w:rsid w:val="008E51D5"/>
    <w:rsid w:val="00921029"/>
    <w:rsid w:val="00927E62"/>
    <w:rsid w:val="00934330"/>
    <w:rsid w:val="0094746A"/>
    <w:rsid w:val="009552A9"/>
    <w:rsid w:val="0097214F"/>
    <w:rsid w:val="009722D5"/>
    <w:rsid w:val="00976BB1"/>
    <w:rsid w:val="009A2B8F"/>
    <w:rsid w:val="009A3A2A"/>
    <w:rsid w:val="009F22F8"/>
    <w:rsid w:val="009F3F14"/>
    <w:rsid w:val="00A030A9"/>
    <w:rsid w:val="00A04F9E"/>
    <w:rsid w:val="00A14BF6"/>
    <w:rsid w:val="00A55755"/>
    <w:rsid w:val="00A74160"/>
    <w:rsid w:val="00AC333A"/>
    <w:rsid w:val="00AC38BB"/>
    <w:rsid w:val="00AE40DF"/>
    <w:rsid w:val="00AF4366"/>
    <w:rsid w:val="00B15E69"/>
    <w:rsid w:val="00B253AB"/>
    <w:rsid w:val="00B53F9A"/>
    <w:rsid w:val="00B72133"/>
    <w:rsid w:val="00B90253"/>
    <w:rsid w:val="00B91A41"/>
    <w:rsid w:val="00BA3AC1"/>
    <w:rsid w:val="00BD4BD1"/>
    <w:rsid w:val="00BD5C0D"/>
    <w:rsid w:val="00BE7779"/>
    <w:rsid w:val="00C27449"/>
    <w:rsid w:val="00C3451D"/>
    <w:rsid w:val="00C81A8F"/>
    <w:rsid w:val="00C95413"/>
    <w:rsid w:val="00CA5FB5"/>
    <w:rsid w:val="00CB1A17"/>
    <w:rsid w:val="00CE2A98"/>
    <w:rsid w:val="00CF06DB"/>
    <w:rsid w:val="00CF6742"/>
    <w:rsid w:val="00D03625"/>
    <w:rsid w:val="00D23BB6"/>
    <w:rsid w:val="00D32B82"/>
    <w:rsid w:val="00D41C6C"/>
    <w:rsid w:val="00D84007"/>
    <w:rsid w:val="00DD0C9B"/>
    <w:rsid w:val="00DF1709"/>
    <w:rsid w:val="00DF2A85"/>
    <w:rsid w:val="00DF3874"/>
    <w:rsid w:val="00E214C3"/>
    <w:rsid w:val="00E73321"/>
    <w:rsid w:val="00E96E8B"/>
    <w:rsid w:val="00E96FA4"/>
    <w:rsid w:val="00EB2895"/>
    <w:rsid w:val="00EC7132"/>
    <w:rsid w:val="00ED2151"/>
    <w:rsid w:val="00EF3B3B"/>
    <w:rsid w:val="00F41A9C"/>
    <w:rsid w:val="00F4223A"/>
    <w:rsid w:val="00F43500"/>
    <w:rsid w:val="00F456B8"/>
    <w:rsid w:val="00F50280"/>
    <w:rsid w:val="00F75F1D"/>
    <w:rsid w:val="00F82783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20733"/>
  <w15:chartTrackingRefBased/>
  <w15:docId w15:val="{E65A1DCF-2634-4814-85B5-2DBF725D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0961"/>
    <w:pPr>
      <w:keepNext/>
      <w:widowControl w:val="0"/>
      <w:numPr>
        <w:numId w:val="12"/>
      </w:numPr>
      <w:tabs>
        <w:tab w:val="left" w:pos="0"/>
      </w:tabs>
      <w:suppressAutoHyphens/>
      <w:autoSpaceDE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05F"/>
    <w:rPr>
      <w:b/>
      <w:bCs/>
    </w:rPr>
  </w:style>
  <w:style w:type="character" w:styleId="a5">
    <w:name w:val="Hyperlink"/>
    <w:basedOn w:val="a0"/>
    <w:uiPriority w:val="99"/>
    <w:semiHidden/>
    <w:unhideWhenUsed/>
    <w:rsid w:val="006D605F"/>
    <w:rPr>
      <w:color w:val="0000FF"/>
      <w:u w:val="single"/>
    </w:rPr>
  </w:style>
  <w:style w:type="table" w:styleId="a6">
    <w:name w:val="Table Grid"/>
    <w:basedOn w:val="a1"/>
    <w:uiPriority w:val="39"/>
    <w:rsid w:val="006D6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03625"/>
    <w:rPr>
      <w:color w:val="808080"/>
    </w:rPr>
  </w:style>
  <w:style w:type="paragraph" w:styleId="a8">
    <w:name w:val="List Paragraph"/>
    <w:basedOn w:val="a"/>
    <w:uiPriority w:val="99"/>
    <w:qFormat/>
    <w:rsid w:val="00BD5C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40961"/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character" w:customStyle="1" w:styleId="a9">
    <w:name w:val="Заголовок Знак"/>
    <w:link w:val="aa"/>
    <w:uiPriority w:val="99"/>
    <w:locked/>
    <w:rsid w:val="00040961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No Spacing"/>
    <w:link w:val="ac"/>
    <w:uiPriority w:val="99"/>
    <w:qFormat/>
    <w:rsid w:val="000409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040961"/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semiHidden/>
    <w:rsid w:val="000409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40961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f">
    <w:name w:val="footer"/>
    <w:basedOn w:val="a"/>
    <w:link w:val="af0"/>
    <w:uiPriority w:val="99"/>
    <w:rsid w:val="000409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040961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customStyle="1" w:styleId="FR1">
    <w:name w:val="FR1"/>
    <w:uiPriority w:val="99"/>
    <w:rsid w:val="00040961"/>
    <w:pPr>
      <w:widowControl w:val="0"/>
      <w:suppressAutoHyphens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styleId="af1">
    <w:name w:val="Emphasis"/>
    <w:uiPriority w:val="99"/>
    <w:qFormat/>
    <w:rsid w:val="00040961"/>
    <w:rPr>
      <w:rFonts w:cs="Times New Roman"/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04096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040961"/>
    <w:rPr>
      <w:rFonts w:ascii="Tahoma" w:eastAsia="Times New Roman" w:hAnsi="Tahoma" w:cs="Times New Roman"/>
      <w:sz w:val="16"/>
      <w:szCs w:val="16"/>
      <w:lang w:val="uk-UA" w:eastAsia="x-none"/>
    </w:rPr>
  </w:style>
  <w:style w:type="paragraph" w:styleId="af4">
    <w:name w:val="caption"/>
    <w:basedOn w:val="a"/>
    <w:next w:val="a"/>
    <w:qFormat/>
    <w:rsid w:val="00040961"/>
    <w:pPr>
      <w:spacing w:after="0" w:line="240" w:lineRule="auto"/>
      <w:ind w:right="9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Title"/>
    <w:basedOn w:val="a"/>
    <w:next w:val="a"/>
    <w:link w:val="a9"/>
    <w:uiPriority w:val="99"/>
    <w:qFormat/>
    <w:rsid w:val="00040961"/>
    <w:pPr>
      <w:spacing w:after="0" w:line="240" w:lineRule="auto"/>
      <w:contextualSpacing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 Знак1"/>
    <w:basedOn w:val="a0"/>
    <w:uiPriority w:val="10"/>
    <w:rsid w:val="0004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uiPriority w:val="10"/>
    <w:rsid w:val="0004096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character" w:styleId="af6">
    <w:name w:val="Book Title"/>
    <w:basedOn w:val="a0"/>
    <w:uiPriority w:val="33"/>
    <w:qFormat/>
    <w:rsid w:val="0004096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44F0-1D8D-4369-A0A9-4FC27EDC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Admin</cp:lastModifiedBy>
  <cp:revision>2</cp:revision>
  <cp:lastPrinted>2022-09-20T05:00:00Z</cp:lastPrinted>
  <dcterms:created xsi:type="dcterms:W3CDTF">2024-10-10T05:20:00Z</dcterms:created>
  <dcterms:modified xsi:type="dcterms:W3CDTF">2024-10-10T05:20:00Z</dcterms:modified>
</cp:coreProperties>
</file>