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700"/>
        <w:gridCol w:w="2560"/>
        <w:gridCol w:w="3200"/>
        <w:gridCol w:w="1800"/>
        <w:gridCol w:w="1480"/>
        <w:gridCol w:w="1800"/>
        <w:gridCol w:w="2700"/>
        <w:gridCol w:w="18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ЗАТВЕРДЖЕНО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Arial" w:hAnsi="Arial" w:eastAsia="Arial" w:cs="Arial"/>
                <w:sz w:val="12.0"/>
              </w:rPr>
              <w:t xml:space="preserve">Наказ Міністерства фінансів України</w:t>
              <w:br/>
              <w:t xml:space="preserve">26 серпня 2014 року  № 836</w:t>
              <w:br/>
              <w:t xml:space="preserve">(у редакції наказу Міністерства фінансів України</w:t>
              <w:br/>
              <w:t xml:space="preserve">від 29 грудня 2018 року № 1209)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ЗАТВЕРДЖЕНО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Наказ / розпорядчий документ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Виконавчий комітет Коростенської міської ради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коштів місцевого бюджету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04.09.2024 р. № 385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32.0"/>
                <w:b w:val="true"/>
              </w:rPr>
              <w:t xml:space="preserve">Паспорт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8.0"/>
                <w:b w:val="true"/>
              </w:rPr>
              <w:t xml:space="preserve">бюджетної програми місцевого бюджету на  2024 рік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1.</w:t>
            </w: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0200000</w:t>
            </w:r>
          </w:p>
        </w:tc>
        <w:tc>
          <w:tcPr>
            <w:gridSpan w:val="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Виконавчий комітет Коростенської міської ради</w:t>
            </w: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04053507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5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(найменування головного розпорядника коштів місцевого бюджету )</w:t>
            </w: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2.</w:t>
            </w: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0210000</w:t>
            </w:r>
          </w:p>
        </w:tc>
        <w:tc>
          <w:tcPr>
            <w:gridSpan w:val="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Виконавчий комітет Коростенської міської ради</w:t>
            </w: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04053507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5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(найменування відповідального виконавця)</w:t>
            </w: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8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3.</w:t>
            </w: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0213223</w:t>
            </w: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3223</w:t>
            </w: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  1060 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Грошова  компенсація за належні для отримання жилі приміщення для сімей 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0656300000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4. Обсяг бюджетних призначень/бюджетних асигнувань –</w:t>
            </w:r>
            <w:r>
              <w:rPr>
                <w:rFonts w:ascii="Times New Roman" w:hAnsi="Times New Roman" w:eastAsia="Times New Roman" w:cs="Times New Roman"/>
                <w:sz w:val="24.0"/>
                <w:u w:val="single"/>
              </w:rPr>
              <w:t xml:space="preserve">1677997</w:t>
            </w:r>
            <w:r>
              <w:rPr>
                <w:rFonts w:ascii="Times New Roman" w:hAnsi="Times New Roman" w:eastAsia="Times New Roman" w:cs="Times New Roman"/>
                <w:sz w:val="24.0"/>
              </w:rPr>
              <w:t xml:space="preserve"> гривень , у тому числі загального фонду – </w:t>
            </w:r>
            <w:r>
              <w:rPr>
                <w:rFonts w:ascii="Times New Roman" w:hAnsi="Times New Roman" w:eastAsia="Times New Roman" w:cs="Times New Roman"/>
                <w:sz w:val="24.0"/>
                <w:u w:val="singl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.0"/>
              </w:rPr>
              <w:t xml:space="preserve"> гривень та спеціального фонду – </w:t>
            </w:r>
            <w:r>
              <w:rPr>
                <w:rFonts w:ascii="Times New Roman" w:hAnsi="Times New Roman" w:eastAsia="Times New Roman" w:cs="Times New Roman"/>
                <w:sz w:val="24.0"/>
                <w:u w:val="single"/>
              </w:rPr>
              <w:t xml:space="preserve">1677997</w:t>
            </w:r>
            <w:r>
              <w:rPr>
                <w:rFonts w:ascii="Times New Roman" w:hAnsi="Times New Roman" w:eastAsia="Times New Roman" w:cs="Times New Roman"/>
                <w:sz w:val="24.0"/>
              </w:rPr>
              <w:t xml:space="preserve"> гривень 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5. Підстави для виконання бюджетної програми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- Конституція України від 28.06.1996р. № 254к/96-ВР з урахування внесених змін;</w:t>
              <w:br/>
              <w:t xml:space="preserve">- Бюджетний кодекс України від 08.07.2010р. №2456 зі змінами і доповненнями;</w:t>
              <w:br/>
              <w:t xml:space="preserve">- Закон України "Про державний бюджет України на 2024 рік" від 09.11.2023 р.№3460-IX зі змінами;</w:t>
              <w:br/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700"/>
        <w:gridCol w:w="9360"/>
        <w:gridCol w:w="580"/>
        <w:gridCol w:w="1800"/>
        <w:gridCol w:w="1800"/>
        <w:gridCol w:w="18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- Закон України "Про статус ветеранів війни, гарантії їх соціального захисту" від 22.10.1993р. №3551-XІІ зі змінами;</w:t>
              <w:br/>
              <w:t xml:space="preserve">- Рішення тридцять п’ятої  сесії VIII скликання Коростенської міської ради від 29.08.2024р  № 1918 " Про внесення змін до бюджету Коростенської міської територіальної громади на 2024 рік"</w:t>
              <w:br/>
              <w:t xml:space="preserve">- Інші нормативно-правові акти.																		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6. Цілі державної політики, на досягнення яких спрямована реалізація бюджетної програми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№</w:t>
              <w:br/>
              <w:t xml:space="preserve">з/п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Ціль державної політики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виплати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7. Мета бюджетної програми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виплати грошової компенсації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8. Завдання бюджетної програми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№</w:t>
              <w:br/>
              <w:t xml:space="preserve">з/п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Завдання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виплати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9. Напрями використання бюджетних коштів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гривень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№</w:t>
              <w:br/>
              <w:t xml:space="preserve">з/п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Напрями використання бюджетних коштів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Усього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Грошова компенсація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1 677 997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1 677 997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10. Перелік місцевих / регіональних програм, що виконуються у складі бюджетної програми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гривень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№</w:t>
              <w:br/>
              <w:t xml:space="preserve">з/п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Найменування місцевої / регіональної програми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Усього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700"/>
        <w:gridCol w:w="5760"/>
        <w:gridCol w:w="1800"/>
        <w:gridCol w:w="1480"/>
        <w:gridCol w:w="900"/>
        <w:gridCol w:w="1800"/>
        <w:gridCol w:w="1800"/>
        <w:gridCol w:w="18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11. Результативні показники бюджетної програми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№</w:t>
              <w:br/>
              <w:t xml:space="preserve">з/п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Показники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Одиниця виміру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Джерело</w:t>
              <w:br/>
              <w:t xml:space="preserve">інформації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Усього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обсяг виділених коштів для перерахування грошової компенсації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кошторисні призачення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1 677 996,70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1 677 996,70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кількість заявників, які потребують поліпшення житлових умов та заяви, які розглянуті комісією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шт.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база даних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середній розмір  компенсації на придбання житла на одну особу-заявника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1 677 996,70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1 677 996,70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питома вага кількості осіб забезпечення грошовою компенсацією, до кількості звернень за їх призначенням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відс.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Міський голова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МОСКАЛЕНКО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(Власне ім'я, ПРІЗВИЩЕ)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.0"/>
              </w:rPr>
              <w:t xml:space="preserve">ПОГОДЖЕНО: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Фінансове управління виконавчого комітету Коростенської міської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Начальник фінансового управління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БАРДОВСЬКА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(Власне ім'я, ПРІЗВИЩЕ)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04.09.2024 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