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0218210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0380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Муніципальні формування з охорони громадського порядку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боротьбі з хуліганством, пиятством, наркоманією та правопорушенням неповнолітніх. </w:t>
              <w:br/>
              <w:t xml:space="preserve">Усунення порушень правил торгівлі, благоустрою.</w:t>
            </w: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5 999 100,00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6 064 100,00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5 902 302,33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45 538,39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5 947 840,72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-96 797,67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-19 461,61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-116 259,28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Охорона громадського порядку та безпека дорожнього руху дотримання "Правил благоустрою територій, забезпечення чистоти і належного санітарного стану у Коростенській територіальній громаді"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5 999 100,00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6 064 100,00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5 902 302,33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45 538,39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5 947 840,72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-96 797,67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-19 461,61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-116 259,28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Касові видатки по загальному фонду не використано в повній мірі, а саме заплановані кошти на нарахування на заробітну плату, так як в  установі працює багато інвалідів, в яких нарахування на зарплату здійсюється за пільговою ставкою; не використані кошти в повній мірі по комунальним послугам тому що в зв'язку із теплою зимою потреба була менша ніж заплановано. Видатки по спеціальному фонду було здійснено не в повному обсязі в зв'язку із відсутністю потреби на запчастини та скорочення видатків на будматеріали, медикаменти та послуги, які були заплановані на 2023 рік.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Охорона громадського порядку та безпека дорожнього руху дотримання "Правил благоустрою територій, забезпечення чистоти і належного санітарного стану у Коростенській територіальній громаді"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осіб вміщених на витвереження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395,00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395,00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-105,00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-105,00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Зменшилась кількість доставлених ВП та ШМД.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перевезених трупів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Збільшилась кількість звернень громадян, ніж було заплановано в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об'єктів засновника, які охороняються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 охорону одного об'єкта (ЦМЛ), який був запланований, не було розпорядження засновника.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профілактичних рейдів по охороні громадського порядку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осіб, які звернулись в пункт незламності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-142,00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зв'язку із стабільною ситуацією в місті (відсутність блекаутів) зменшилась кількість звернень громадян ніж заплановано.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дохід від вміщення на витвереження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12 200,00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12 200,00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19 430,00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19 430,00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7 230,00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7 230,00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Збільшився рівень сплати за перебування на витверезенні, ніж було заплановано в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дохід від перевезення трупів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52 800,00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52 800,00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67 100,00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67 100,00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14 300,00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14 300,00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Збільшилась кількість звернень громадян, ніж було заплановано в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питома вага охопленої рейдами території (ринки, патрулювання з ВП)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питома вага охоплена рейдами території по благоустрою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питома вага звернеь в пункт незламності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одного рейду/року по охороні громадського порядку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4 586 000,00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4 586 000,00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4 586 000,00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4 586 000,00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успішна протидія злочинності та досягнення уповільнення темпів її зростання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успішна робота пункту незламності згідно розпорядження міського голови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5 723 243,28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169 492,22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5 892 735,50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5 902 302,33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45 538,39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5 947 840,72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103,13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26,87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100,94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Охорона громадського порядку та безпека дорожнього руху дотримання "Правил благоустрою територій, забезпечення чистоти і належного санітарного стану у Коростенській територіальній громаді"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5 723 243,28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169 492,22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5 892 735,50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осіб вміщених на витвереження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395,00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395,00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129,08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129,08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перевезених трупів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118,52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118,52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об'єктів засновника, які охороняються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попереджень виписаних по благоустрою території громади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профілактичних рейдів по охороні громадського порядку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365,00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осіб, які звернулись в пункт незламності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дохід від вміщення на витвереження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13 800,00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13 800,00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19 430,00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19 430,00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140,80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140,80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Дохід збільшився від збільшення наданих послуг.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дохід від перевезення трупів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48 770,00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48 770,00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67 100,00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67 100,00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137,58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137,58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Дохід збільшився від збільшення наданих послуг.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1 рейду/року по охороні громадського порядку із 3 чоловік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573 900,00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573 900,00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питома вага охопленої рейдами території (ринки, патрулювання з ВП)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незмінний.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1 рейду/року  із 3 чоловік по благоустрою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питома вага охоплена рейдами території по благоустрою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незмінний.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питома вага звернеь в пункт незламності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незмінний.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одного рейду/року по охороні громадського порядку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4 586 000,00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4 586 000,00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незмінний.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успішна протидія злочинності та досягнення уповільнення темпів її зростання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незмінний.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успішна робота пункту незламності згідно розпорядження міського голови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незмінний.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Охорона громадського порядку та безпека дорожнього руху дотримання "Правил благоустрою територій, забезпечення чистоти і належного санітарного стану у Коростенській територіальній громаді"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5 902 302,33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45 538,39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5 947 840,72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