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00"/>
        <w:gridCol w:w="26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  <w:gridCol w:w="40"/>
      </w:tblGrid>
      <w:tr w:rsidR="00DA61B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0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260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61B4" w:rsidRDefault="004C2FC2">
            <w:pPr>
              <w:jc w:val="center"/>
            </w:pPr>
            <w:r>
              <w:rPr>
                <w:b/>
                <w:sz w:val="28"/>
              </w:rPr>
              <w:t>ОЦІНКА ЕФЕКТИВНОСТІ БЮДЖЕТНОЇ ПРОГРАМИ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1B4" w:rsidRDefault="004C2FC2">
            <w:pPr>
              <w:jc w:val="center"/>
            </w:pPr>
            <w:r>
              <w:rPr>
                <w:b/>
                <w:sz w:val="28"/>
              </w:rPr>
              <w:t>за 2023 рік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1B4" w:rsidRDefault="004C2FC2">
            <w:r>
              <w:t>1.</w:t>
            </w:r>
          </w:p>
        </w:tc>
        <w:tc>
          <w:tcPr>
            <w:tcW w:w="26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800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1B4" w:rsidRDefault="004C2FC2">
            <w:r>
              <w:t>Виконавчий комітет Коростенської міської ради</w:t>
            </w: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260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61B4" w:rsidRDefault="004C2FC2">
            <w:pPr>
              <w:jc w:val="center"/>
            </w:pPr>
            <w:r>
              <w:rPr>
                <w:sz w:val="14"/>
              </w:rPr>
              <w:t>(КПКВК ДБ(МБ))</w:t>
            </w:r>
          </w:p>
        </w:tc>
        <w:tc>
          <w:tcPr>
            <w:tcW w:w="7560" w:type="dxa"/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1B4" w:rsidRDefault="004C2FC2">
            <w:r>
              <w:t>2.</w:t>
            </w:r>
          </w:p>
        </w:tc>
        <w:tc>
          <w:tcPr>
            <w:tcW w:w="26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7560" w:type="dxa"/>
            <w:gridSpan w:val="9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1B4" w:rsidRDefault="004C2FC2">
            <w:r>
              <w:t>Виконавчий комітет Коростенської міської ради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260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61B4" w:rsidRDefault="004C2FC2">
            <w:pPr>
              <w:jc w:val="center"/>
            </w:pPr>
            <w:r>
              <w:rPr>
                <w:sz w:val="14"/>
              </w:rPr>
              <w:t>(КПКВК ДБ(МБ))</w:t>
            </w:r>
          </w:p>
        </w:tc>
        <w:tc>
          <w:tcPr>
            <w:tcW w:w="7560" w:type="dxa"/>
            <w:gridSpan w:val="9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1B4" w:rsidRDefault="004C2FC2">
            <w:pPr>
              <w:jc w:val="both"/>
            </w:pPr>
            <w:r>
              <w:t>3.</w:t>
            </w:r>
          </w:p>
        </w:tc>
        <w:tc>
          <w:tcPr>
            <w:tcW w:w="26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b/>
              </w:rPr>
              <w:t>0217370</w:t>
            </w:r>
          </w:p>
        </w:tc>
        <w:tc>
          <w:tcPr>
            <w:tcW w:w="168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t xml:space="preserve">  0490 </w:t>
            </w:r>
          </w:p>
        </w:tc>
        <w:tc>
          <w:tcPr>
            <w:tcW w:w="58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260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A61B4" w:rsidRDefault="004C2FC2">
            <w:pPr>
              <w:jc w:val="center"/>
            </w:pPr>
            <w:r>
              <w:rPr>
                <w:sz w:val="14"/>
              </w:rPr>
              <w:t>(КПКВК ДБ(МБ))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58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1B4" w:rsidRDefault="004C2FC2">
            <w:pPr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1B4" w:rsidRDefault="004C2FC2">
            <w:r>
              <w:t>4. Мета бюджетної програми:</w:t>
            </w: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r>
              <w:t>Забезпечення єдиної інфраструктури автоматизованої інформаційної системи міжвідомчої взаємодії органів влади з громадянами та суб'</w:t>
            </w:r>
            <w:r>
              <w:t>єктами господарювання на основі активного використання інформаційно-комунікаційних технологій для досягнення європейських стандартів якості надання електронних адміністративних послуг, відкритості та прозорості влади</w:t>
            </w: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98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r>
              <w:t>5. Оцінка ефективності бюджетної прог</w:t>
            </w:r>
            <w:r>
              <w:t>рами за критеріями:</w:t>
            </w:r>
            <w:r>
              <w:br/>
              <w:t>5.1 Виконання бюджетної програми за напрямами використання бюджетних коштів: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61B4" w:rsidRDefault="004C2FC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№</w:t>
            </w:r>
            <w:r>
              <w:rPr>
                <w:sz w:val="14"/>
              </w:rPr>
              <w:br/>
              <w:t>з/п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Показники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План з урахуванням змін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Виконано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Відхилення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pStyle w:val="EMPTYCELLSTYLE"/>
            </w:pP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усього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усього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1.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Видатки(надані кредити)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335 000,00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335 000,00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303 887,73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303 887,73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-31 112,27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-31 112,27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335 000,00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335 000,00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303 887,73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303 887,73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-31 112,27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-31 112,27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Залишок виник за рахунок економії.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98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r>
              <w:t xml:space="preserve">5.2 Виконання бюджетної програми за джерелами надходжень спеціального фонду: 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61B4" w:rsidRDefault="004C2FC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№</w:t>
            </w:r>
            <w:r>
              <w:rPr>
                <w:sz w:val="14"/>
              </w:rPr>
              <w:br/>
              <w:t>з/п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Показники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План з урахуванням змін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Виконано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Відхилення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Залишок на початок року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власних надходжень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інших надходжень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Надходження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2.1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власні надходження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2.2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надходження позик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2.3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повернення кредитів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2.4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інші надходження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3.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Залишок на кінець року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3.1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власних надходжень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3.2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інших надходжень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98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r>
              <w:t xml:space="preserve">5.3 Виконання результативних показників бюджетної програми за напрямами використання бюджетних коштів: </w:t>
            </w: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6"/>
              </w:rPr>
              <w:t>Виконано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pStyle w:val="EMPTYCELLSTYLE"/>
            </w:pP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придбаної техніки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21,00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-4,00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-4,00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придбаної техніки зменшено відповідно до фактичного фінансування.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заключених договорів з надання послуг провайдерів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1 одиниці техніки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6 420,95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6 420,95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6 435,82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6 435,82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14,87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14,87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1 одиниці техніки збільшено у зв'</w:t>
            </w:r>
            <w:r>
              <w:rPr>
                <w:rFonts w:ascii="Arial" w:eastAsia="Arial" w:hAnsi="Arial" w:cs="Arial"/>
                <w:sz w:val="14"/>
              </w:rPr>
              <w:t>язку із збільшенням вартості</w:t>
            </w: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260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00"/>
        </w:trPr>
        <w:tc>
          <w:tcPr>
            <w:tcW w:w="840" w:type="dxa"/>
          </w:tcPr>
          <w:p w:rsidR="00DA61B4" w:rsidRDefault="00DA61B4">
            <w:pPr>
              <w:pStyle w:val="EMPTYCELLSTYLE"/>
              <w:pageBreakBefore/>
            </w:pPr>
          </w:p>
        </w:tc>
        <w:tc>
          <w:tcPr>
            <w:tcW w:w="50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260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користувачів програмними продуктами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послуги провайдерів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24 720,00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24 720,00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22 649,46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22 649,46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-2 070,54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-2 070,54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витрати менші від запланованих, за рахунок економії.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6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доступності послуг для різних категорій мешканців міста (без урахування можливостей електронної системи)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98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r>
              <w:t xml:space="preserve">5.4 Виконання показників бюджетної програми порівняно із показниками попереднього року: 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61B4" w:rsidRDefault="004C2FC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52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№</w:t>
            </w:r>
            <w:r>
              <w:rPr>
                <w:sz w:val="14"/>
              </w:rPr>
              <w:br/>
              <w:t>з/п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Показники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Попередній рік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Звітний рік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Відхилення виконання (у відсотках)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52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pStyle w:val="EMPTYCELLSTYLE"/>
            </w:pPr>
          </w:p>
        </w:tc>
        <w:tc>
          <w:tcPr>
            <w:tcW w:w="2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загальний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ind w:left="60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Видатки(надані кредити)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113 669,19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113 669,19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303 887,73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303 887,73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267,34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267,34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1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113 669,19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113 669,19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303 887,73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303 887,73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267,34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b/>
                <w:sz w:val="12"/>
              </w:rPr>
              <w:t>267,34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Збільшення обсягу асигнувань збільшилось за рахунок збільшення статей витрат.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придбаної техніки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17,00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заключених договорів з надання послуг провайдерів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3,00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1 одиниці техніки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6 435,82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6 435,82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відповідно проведених тендерних закупівель.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користувачів програмними продуктами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11 000,00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користувачів незмінна.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послуги провайдерів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18 939,73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18 939,73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22 649,46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22 649,46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119,59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119,59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Збільшення обсягу асигнувань збільшилось за рахунок збільшення статей витрат.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6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доступності послуг для різних категорій мешканців міста (без урахування можливостей електронної системи)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10 000,00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Показник незмінний.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98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r>
              <w:rPr>
                <w:sz w:val="18"/>
              </w:rPr>
              <w:t>5.5 Виконання інвестиційних (проектів) програм: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61B4" w:rsidRDefault="004C2FC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0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№</w:t>
            </w:r>
            <w:r>
              <w:rPr>
                <w:sz w:val="12"/>
              </w:rPr>
              <w:br/>
              <w:t>з/п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Показники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Загальний обсяг фінансування проекту (програми), всього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План на звітний період з урахуванням змін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Виконано за звітний період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Відхилення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Виконано всього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Залишок фінансування на майбутні періоди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6 = 5 -4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8 = 3 - 7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6"/>
              </w:rPr>
              <w:t>1.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b/>
                <w:sz w:val="16"/>
              </w:rPr>
              <w:t>Надходження всього: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Надходження бюджету розвитку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Надходження із загального фонду бюджету до спеціального фонду(бюджету розвитку)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Запозичення до бюджету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джерела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8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6"/>
              </w:rPr>
              <w:t>2.</w:t>
            </w: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</w:pPr>
            <w:r>
              <w:rPr>
                <w:b/>
                <w:sz w:val="16"/>
              </w:rPr>
              <w:t>Видатки бюджету розвитку всього: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ind w:right="60"/>
              <w:jc w:val="righ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ind w:right="60"/>
              <w:jc w:val="righ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DA61B4">
            <w:pPr>
              <w:ind w:right="60"/>
              <w:jc w:val="righ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1B4" w:rsidRDefault="004C2FC2">
            <w:pPr>
              <w:ind w:left="60"/>
              <w:jc w:val="center"/>
            </w:pPr>
            <w:r>
              <w:rPr>
                <w:sz w:val="12"/>
              </w:rPr>
              <w:t>X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2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DA61B4">
            <w:pPr>
              <w:jc w:val="center"/>
            </w:pPr>
          </w:p>
        </w:tc>
        <w:tc>
          <w:tcPr>
            <w:tcW w:w="5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DA61B4">
            <w:pPr>
              <w:ind w:left="60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DA61B4">
            <w:pPr>
              <w:ind w:right="60"/>
              <w:jc w:val="righ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DA61B4">
            <w:pPr>
              <w:ind w:right="60"/>
              <w:jc w:val="righ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DA61B4">
            <w:pPr>
              <w:ind w:right="60"/>
              <w:jc w:val="righ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DA61B4">
            <w:pPr>
              <w:ind w:right="60"/>
              <w:jc w:val="righ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DA61B4">
            <w:pPr>
              <w:ind w:right="60"/>
              <w:jc w:val="righ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DA61B4">
            <w:pPr>
              <w:ind w:right="60"/>
              <w:jc w:val="right"/>
            </w:pP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</w:pPr>
            <w:r>
              <w:t>5.6 Наявність фінансових порушень за результатами контрольних заходів: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2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r>
              <w:t>Фінансових порушень не встановлено.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</w:pPr>
            <w:r>
              <w:t>5.7 Стан фінансової дисципліни: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2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r>
              <w:t>Кредиторська та дебіторська заборгованість відсутня.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66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</w:pPr>
            <w:r>
              <w:t>6. Узагальнений висновок щодо:</w:t>
            </w:r>
            <w:r>
              <w:br/>
            </w:r>
            <w:r>
              <w:t>актуальності бюджетної програми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2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r>
              <w:t>Бюджетна програма актуальна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00"/>
        </w:trPr>
        <w:tc>
          <w:tcPr>
            <w:tcW w:w="840" w:type="dxa"/>
          </w:tcPr>
          <w:p w:rsidR="00DA61B4" w:rsidRDefault="00DA61B4">
            <w:pPr>
              <w:pStyle w:val="EMPTYCELLSTYLE"/>
              <w:pageBreakBefore/>
            </w:pPr>
          </w:p>
        </w:tc>
        <w:tc>
          <w:tcPr>
            <w:tcW w:w="50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4280" w:type="dxa"/>
            <w:gridSpan w:val="3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40" w:type="dxa"/>
            <w:gridSpan w:val="6"/>
          </w:tcPr>
          <w:p w:rsidR="00DA61B4" w:rsidRDefault="00DA61B4">
            <w:pPr>
              <w:pStyle w:val="EMPTYCELLSTYLE"/>
            </w:pP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2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</w:pPr>
            <w:r>
              <w:t>ефективності бюджетної програми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2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r>
              <w:t>Висока ефективність програми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2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</w:pPr>
            <w:r>
              <w:t>корисності бюджетної програм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2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r>
              <w:t>Виконання бюджетної програми свідчить про забезпечення виконання мети, цілей і завдань.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32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pPr>
              <w:ind w:right="60"/>
            </w:pPr>
            <w:r>
              <w:t xml:space="preserve">довгострокових наслідків бюджетної програми 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42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1066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61B4" w:rsidRDefault="004C2FC2">
            <w:r>
              <w:t>Бюджетна програма і надалі повинна виконувати свої цілі і завдання, так як програма має довгостроковий термін дії.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88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DA61B4" w:rsidRDefault="004C2FC2">
            <w:pPr>
              <w:ind w:right="60"/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40" w:type="dxa"/>
            <w:gridSpan w:val="6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 w:rsidR="00DA61B4" w:rsidRDefault="004C2FC2">
            <w:r>
              <w:t>Наталія КАРБОВСЬКА</w:t>
            </w: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  <w:tr w:rsidR="00DA61B4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hRule="exact" w:val="140"/>
        </w:trPr>
        <w:tc>
          <w:tcPr>
            <w:tcW w:w="84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500" w:type="dxa"/>
          </w:tcPr>
          <w:p w:rsidR="00DA61B4" w:rsidRDefault="00DA61B4">
            <w:pPr>
              <w:pStyle w:val="EMPTYCELLSTYLE"/>
            </w:pPr>
          </w:p>
        </w:tc>
        <w:tc>
          <w:tcPr>
            <w:tcW w:w="4280" w:type="dxa"/>
            <w:gridSpan w:val="3"/>
          </w:tcPr>
          <w:p w:rsidR="00DA61B4" w:rsidRDefault="00DA61B4">
            <w:pPr>
              <w:pStyle w:val="EMPTYCELLSTYLE"/>
            </w:pPr>
          </w:p>
        </w:tc>
        <w:tc>
          <w:tcPr>
            <w:tcW w:w="8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1B4" w:rsidRDefault="004C2FC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5040" w:type="dxa"/>
            <w:gridSpan w:val="6"/>
          </w:tcPr>
          <w:p w:rsidR="00DA61B4" w:rsidRDefault="00DA61B4">
            <w:pPr>
              <w:pStyle w:val="EMPTYCELLSTYLE"/>
            </w:pPr>
          </w:p>
        </w:tc>
        <w:tc>
          <w:tcPr>
            <w:tcW w:w="400" w:type="dxa"/>
          </w:tcPr>
          <w:p w:rsidR="00DA61B4" w:rsidRDefault="00DA61B4">
            <w:pPr>
              <w:pStyle w:val="EMPTYCELLSTYLE"/>
            </w:pPr>
          </w:p>
        </w:tc>
      </w:tr>
    </w:tbl>
    <w:p w:rsidR="004C2FC2" w:rsidRDefault="004C2FC2"/>
    <w:sectPr w:rsidR="004C2FC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DA61B4"/>
    <w:rsid w:val="004C2FC2"/>
    <w:rsid w:val="00DA61B4"/>
    <w:rsid w:val="00D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2024-02-06T09:15:00Z</dcterms:created>
  <dcterms:modified xsi:type="dcterms:W3CDTF">2024-02-06T09:15:00Z</dcterms:modified>
</cp:coreProperties>
</file>