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0210160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0111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Керівництво і управління у відповідній сфері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757 229,00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757 229,00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715 833,80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715 833,80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-41 395,20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-41 395,20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713 300,00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713 300,00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671 904,80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671 904,80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-41 395,20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-41 395,20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фактичних показників від планових в сумі  41 395,20 грн.пояснюється економією коштів по придбанню послуг та внесків по ОСББ.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установ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обсяги витрат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198 640,27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198 640,27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114 895,19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114 895,19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-83 745,08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-83 745,08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затверджених показників від фактичних  виникло внаслідок зменшенняі послуг, які були оплачені на протязі року.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обсяги витрат на придбання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500 260,00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500 260,00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547 025,88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547 025,88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46 765,88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46 765,88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Станом на 01.01.2023 р. була заборгованість за товари, яка була погашена в 2023 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обсяги витрат по внесках та зборах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-4 416,00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-4 416,00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 витратах по внесках виникло при зменшенні вартості відшкодування за ОСББ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43 928,73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43 928,73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43 928,73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43 928,73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придбаних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7 909,00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7 909,00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22 206,00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22 206,00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14 297,00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14 297,00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виникло внаслідок економії бюджетних коштів  при проведенні тендерів та при зменшенні кількості придбаного товару у воєнний час та погашення заборговансті.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одиниць придбаних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63,25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24,63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24,63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-38,62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-38,62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товарів змешилась в зв'язку зі зменшенням придбаного товару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580,82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580,82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335,95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335,95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-244,87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-244,87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Значення показника зменшилося за результатами проведення процедури закупівлі в системі публічних закупівель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оплату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1 200,00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-368,00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-368,00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відшкодування внесків  змешилась в зв'язку зі зменшенням ціни за місяць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268 112,52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268 112,52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715 833,80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715 833,80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266,99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266,99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268 112,52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268 112,52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671 904,80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671 904,80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250,61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250,61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обсягу асигнувань збільшилось за рахунок збільшення статей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установ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обсяги витрат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95 151,64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95 151,64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114 895,19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114 895,19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120,75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120,75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обсяги витрат на придбання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162 976,88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162 976,88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547 025,88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547 025,88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335,65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335,65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обсяги витрат по внесках та зборах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9 984,00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43 928,73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43 928,73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об'єктів, які планується відремонтувати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придбаних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22 206,00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22 206,00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одиниць придбаних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154,75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154,75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одиниць придбаних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10 041,00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10 041,00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 товарів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24,63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24,63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151,76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151,76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Значення показника зменшилося за результатами проведення процедури закупівлі в системі публічних закупівель													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430,55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430,55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335,95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335,95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78,03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78,03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Значення показника зменшилося за результатами проведення процедури закупівлі в системі публічних закупівель													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оплату внесків та зборів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832,00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Значення показника зменшилося за результатами проведення процедури закупівлі в системі публічних закупівель													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освоєння коштів на виконання програми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забезпеченості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43 929,00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2023 році була зареєстрована кредиторська заборгованість.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