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0210150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0111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Організаційне, інформаційно-аналітичне та матеріально-технічне забезпечення діяльності діяльності міської ради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40 588 024,00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40 588 024,00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37 953 116,21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37 958 616,21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-2 634 907,79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-2 629 407,79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40 410 524,62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40 410 524,62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37 775 616,83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37 781 116,83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-2 634 907,79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-2 629 407,79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затверджених показників від фактичних показників пояснюється обмеженням проведення видатків, згідно Постанови КМУ від 09.06.2021 р. №590 «Про затвердження Порядку виконання повноважень Державною казначейською службою в особливому режимі і умовах воєнного стану» зі змінами. Військова агресія рф проти України суттєво вплинула на виконання результативних показників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штатних одиниць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прийнятих нормативно-правових актів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1 855,00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1 855,00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855,00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855,00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 рік було прийнято та затверджено більше нормативно-правових актів ніж у попередньому році , у зв'язку з  воєнним станом виникало більша кільість питань.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отриманих листів, звернень, заяв, скарг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21 000,00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21 000,00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32 965,00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32 965,00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11 965,00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11 965,00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у сторону збільшення відбулось за рахунок того, що в результаті частина населення змінила місце проживання. У зв'язку з підкриттям реєстрів почали вирішуватись майнові та земельні питання.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прийнятих нормативно-правових актів на одного працівника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показнику ефективності прямо пов'язано з показником продукту.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виконаних листів, звернень, заяв, скарг на одного працівника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показнику ефективності прямо пов'язано з показником продукту.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витрати на утримання однієї штатної одиниці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349 896,76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349 896,76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327 182,04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327 182,04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-22 714,72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-22 714,72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показників в сторону зменшення відбулось за рахунок того, що протягом року деякий час були вільні вакансії.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опрацьованих листів, звернень, заяв, скарг на одного працівника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прийнятих розпоряджень, рішень, наказів у загальній кількості розроблених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35 066 014,68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35 066 014,68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37 953 116,21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37 958 616,21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108,23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108,25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35 066 014,68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35 066 014,68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37 775 616,83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37 781 116,83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107,73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107,74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загального фонду за рахунок збільшення асигнувань та касових.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штатних одиниць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прийнятих нормативно-правових актів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1 239,00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1 239,00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1 855,00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1 855,00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149,72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149,72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отриманих листів, звернень, заяв, скарг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22 458,00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22 458,00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32 965,00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32 965,00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146,79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146,79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прийнятих нормативно-правових актів на одного працівника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показнику за рахунок збільшення виконання.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виконаних листів, звернень, заяв, скарг на одного працівника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147,15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147,15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показнику за рахунок збільшення виконання.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витрати на утримання однієї штатної одиниці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302 293,23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302 293,23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327 182,04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327 182,04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показнику за рахунок збільшення асигнувань..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опрацьованих листів, звернень, заяв, скарг на одного працівника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прийнятих розпоряджень, рішень, наказів у загальній кількості розроблених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177 499,38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У 2022 році кредиторська заборгованість була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Станом на 01.01.2024р. дебіторська заборгованість по загальному фонду становить 422291,82грн.: </w:t>
              <w:br/>
              <w:t xml:space="preserve">-КПКВК 0210150 </w:t>
              <w:br/>
              <w:t xml:space="preserve">КЕКВ 2210 – 5376,00грн. виникла по попередній оплаті передплати вітчизняних, зарубіжних періодичних видань згідно договору з АТ «Укрпошта» №011123-50 від 01.11.2023р.; </w:t>
              <w:br/>
              <w:t xml:space="preserve">КЕКВ 2240 – 15,00грн. виникла по попередній оплаті послуг з доставки вітчизняних, зарубіжних періодичних видань згідно договору з АТ «Укрпошта» №011123-50 від 01.11.2023р.; </w:t>
              <w:br/>
              <w:t xml:space="preserve">КЕКВ 2271 – 404077,98грн. виникла по попередній оплаті згідно Постанови КМУ №1070 від 04.12.2019р. по договорам з КП Теплозабезпечення  №19/23/3 від 13.01.2023р. та №4 від 13.01.2023р.; </w:t>
              <w:br/>
              <w:t xml:space="preserve">КЕКВ 2274 – 12822,84грн. виникла по попередній оплаті згідно Постанови КМУ №1070 від 04.12.2019р. по договору ТОВ «Газопостачальна компанія «Нафтогаз Трейдинг», №05-4058/23-БО-Т від 12.09.2023р. та договору Житомирської філії ТОВ «Газорозподільні мережі України» №209 від 27.09.2023р.</w:t>
              <w:br/>
              <w:t xml:space="preserve">Станом на 01.01.2024р. кредиторська заборгованість по загальному фонду відсутня.</w:t>
              <w:br/>
              <w:t xml:space="preserve">Станом на 01.01.2024р. дебіторська та кредиторська заборгованості по спеціальному фонду відсутні.  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