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560"/>
        <w:gridCol w:w="980"/>
        <w:gridCol w:w="2120"/>
        <w:gridCol w:w="1720"/>
        <w:gridCol w:w="980"/>
        <w:gridCol w:w="840"/>
        <w:gridCol w:w="840"/>
        <w:gridCol w:w="840"/>
        <w:gridCol w:w="840"/>
        <w:gridCol w:w="840"/>
        <w:gridCol w:w="840"/>
        <w:gridCol w:w="840"/>
        <w:gridCol w:w="840"/>
        <w:gridCol w:w="840"/>
        <w:gridCol w:w="840"/>
        <w:gridCol w:w="840"/>
        <w:gridCol w:w="840"/>
        <w:gridCol w:w="400"/>
      </w:tblGrid>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gridSpan w:val="16"/>
            <w:tcMar>
              <w:top w:w="0" w:type="dxa"/>
              <w:left w:w="0" w:type="dxa"/>
              <w:bottom w:w="0" w:type="dxa"/>
              <w:right w:w="0" w:type="dxa"/>
            </w:tcMar>
            <w:vAlign w:val="bottom"/>
          </w:tcPr>
          <w:p>
            <w:pPr>
              <w:ind/>
              <w:jc w:val="center"/>
            </w:pPr>
            <w:r>
              <w:rPr>
                <w:rFonts w:ascii="Times New Roman" w:hAnsi="Times New Roman" w:eastAsia="Times New Roman" w:cs="Times New Roman"/>
                <w:sz w:val="28.0"/>
                <w:b w:val="true"/>
              </w:rPr>
              <w:t xml:space="preserve">АНАЛІЗ ЕФЕКТИВНОСТІ ВИКОНАННЯ БЮДЖЕТНОЇ ПРОГРАМИ</w:t>
            </w:r>
          </w:p>
        </w:tc>
        <w:tc>
          <w:tcPr>
     </w:tcPr>
          <w:p>
            <w:pPr>
              <w:pStyle w:val="EMPTY_CELL_STYLE"/>
            </w:pPr>
          </w:p>
        </w:tc>
      </w:tr>
      <w:tr>
        <w:trPr>
          <w:trHeight w:hRule="exact" w:val="660"/>
        </w:trPr>
        <w:tc>
          <w:tcPr>
     </w:tcPr>
          <w:p>
            <w:pPr>
              <w:pStyle w:val="EMPTY_CELL_STYLE"/>
            </w:pPr>
          </w:p>
        </w:tc>
        <w:tc>
          <w:tcPr>
            <w:gridSpan w:val="16"/>
            <w:tcMar>
              <w:top w:w="0" w:type="dxa"/>
              <w:left w:w="0" w:type="dxa"/>
              <w:bottom w:w="0" w:type="dxa"/>
              <w:right w:w="0" w:type="dxa"/>
            </w:tcMar>
            <w:vAlign w:val="top"/>
          </w:tcPr>
          <w:p>
            <w:pPr>
              <w:ind/>
              <w:jc w:val="center"/>
            </w:pPr>
            <w:r>
              <w:rPr>
                <w:rFonts w:ascii="Times New Roman" w:hAnsi="Times New Roman" w:eastAsia="Times New Roman" w:cs="Times New Roman"/>
                <w:sz w:val="28.0"/>
                <w:b w:val="true"/>
              </w:rPr>
              <w:t xml:space="preserve">за 2023 рік</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0200000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головного розпорядника коштів місцевого бюджету )</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відповідального виконавця)</w:t>
            </w:r>
          </w:p>
        </w:tc>
        <w:tc>
          <w:tcPr>
     </w:tcPr>
          <w:p>
            <w:pPr>
              <w:pStyle w:val="EMPTY_CELL_STYLE"/>
            </w:pPr>
          </w:p>
        </w:tc>
      </w:tr>
      <w:tr>
        <w:trPr>
          <w:trHeight w:hRule="exact" w:val="440"/>
        </w:trPr>
        <w:tc>
          <w:tcPr>
     </w:tcPr>
          <w:p>
            <w:pPr>
              <w:pStyle w:val="EMPTY_CELL_STYLE"/>
            </w:pPr>
          </w:p>
        </w:tc>
        <w:tc>
          <w:tcPr>
            <w:tcMar>
              <w:top w:w="20" w:type="dxa"/>
              <w:left w:w="20" w:type="dxa"/>
              <w:bottom w:w="40" w:type="dxa"/>
              <w:right w:w="20" w:type="dxa"/>
            </w:tcMar>
            <w:vAlign w:val="center"/>
          </w:tcPr>
          <w:p>
            <w:pPr>
              <w:ind/>
              <w:jc w:val="both"/>
            </w:pPr>
          </w:p>
        </w:tc>
        <w:tc>
          <w:tcPr>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0218822</w:t>
            </w:r>
          </w:p>
        </w:tc>
        <w:tc>
          <w:tcPr>
            <w:tcMar>
              <w:top w:w="20" w:type="dxa"/>
              <w:left w:w="20" w:type="dxa"/>
              <w:bottom w:w="40" w:type="dxa"/>
              <w:right w:w="20" w:type="dxa"/>
            </w:tcMar>
            <w:vAlign w:val="center"/>
          </w:tcPr>
          <w:p>
            <w:pPr>
              <w:ind/>
              <w:jc w:val="center"/>
            </w:pPr>
            <w:r>
              <w:rPr>
                <w:rFonts w:ascii="Times New Roman" w:hAnsi="Times New Roman" w:eastAsia="Times New Roman" w:cs="Times New Roman"/>
              </w:rPr>
              <w:t xml:space="preserve">  1060 </w:t>
            </w:r>
          </w:p>
        </w:tc>
        <w:tc>
          <w:tcPr>
            <w:gridSpan w:val="13"/>
            <w:tcMar>
              <w:top w:w="20" w:type="dxa"/>
              <w:left w:w="20" w:type="dxa"/>
              <w:bottom w:w="20" w:type="dxa"/>
              <w:right w:w="20" w:type="dxa"/>
            </w:tcMar>
            <w:vAlign w:val="center"/>
          </w:tcPr>
          <w:p>
            <w:pPr>
              <w:ind w:left="60"/>
              <w:jc w:val="both"/>
            </w:pPr>
            <w:r>
              <w:rPr>
                <w:rFonts w:ascii="Times New Roman" w:hAnsi="Times New Roman" w:eastAsia="Times New Roman" w:cs="Times New Roman"/>
              </w:rPr>
              <w:t xml:space="preserve">Повернення пільгових довгострокових кредитів, наданих молодим сім`ям та одиноким молодим громадянам на будівництво/реконструкцію/придбання житла</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tcBorders>
              <w:top w:val="single" w:sz="6" w:space="0" w:color="000000"/>
            </w:tcBorders>
            <w:tcMar>
              <w:top w:w="0" w:type="dxa"/>
              <w:left w:w="0" w:type="dxa"/>
              <w:bottom w:w="0" w:type="dxa"/>
              <w:right w:w="0" w:type="dxa"/>
            </w:tcMar>
            <w:vAlign w:val="center"/>
          </w:tcPr>
          <w:p>
            <w:pPr>
              <w:ind/>
              <w:jc w:val="center"/>
            </w:pPr>
            <w:r>
              <w:rPr>
                <w:rFonts w:ascii="Times New Roman" w:hAnsi="Times New Roman" w:eastAsia="Times New Roman" w:cs="Times New Roman"/>
                <w:sz w:val="14.0"/>
              </w:rPr>
              <w:t xml:space="preserve">(КФКВК)</w:t>
            </w:r>
          </w:p>
        </w:tc>
        <w:tc>
          <w:tcPr>
            <w:gridSpan w:val="13"/>
            <w:tcBorders>
              <w:top w:val="single" w:sz="6" w:space="0" w:color="000000"/>
            </w:tcBorders>
            <w:tcMar>
              <w:top w:w="0" w:type="dxa"/>
              <w:left w:w="0" w:type="dxa"/>
              <w:bottom w:w="0" w:type="dxa"/>
              <w:right w:w="0" w:type="dxa"/>
            </w:tcMar>
            <w:vAlign w:val="top"/>
          </w:tcPr>
          <w:p>
            <w:pPr>
              <w:ind/>
              <w:jc w:val="center"/>
            </w:pPr>
            <w:r>
              <w:rPr>
                <w:rFonts w:ascii="Times New Roman" w:hAnsi="Times New Roman" w:eastAsia="Times New Roman" w:cs="Times New Roman"/>
                <w:sz w:val="14.0"/>
              </w:rPr>
              <w:t xml:space="preserve">(найменування бюджетної програми)</w:t>
            </w:r>
          </w:p>
        </w:tc>
        <w:tc>
          <w:tcPr>
     </w:tcPr>
          <w:p>
            <w:pPr>
              <w:pStyle w:val="EMPTY_CELL_STYLE"/>
            </w:pPr>
          </w:p>
        </w:tc>
      </w:tr>
      <w:tr>
        <w:trPr>
          <w:trHeight w:hRule="exact" w:val="500"/>
        </w:trPr>
        <w:tc>
          <w:tcPr>
     </w:tcPr>
          <w:p>
            <w:pPr>
              <w:pStyle w:val="EMPTY_CELL_STYLE"/>
            </w:pPr>
          </w:p>
        </w:tc>
        <w:tc>
          <w:tcPr>
            <w:gridSpan w:val="16"/>
            <w:tcMar>
              <w:top w:w="0" w:type="dxa"/>
              <w:left w:w="0" w:type="dxa"/>
              <w:bottom w:w="0" w:type="dxa"/>
              <w:right w:w="0" w:type="dxa"/>
            </w:tcMar>
            <w:vAlign w:val="center"/>
          </w:tcPr>
          <w:p>
            <w:pPr>
              <w:ind/>
            </w:pPr>
            <w:r>
              <w:rPr>
                <w:rFonts w:ascii="Times New Roman" w:hAnsi="Times New Roman" w:eastAsia="Times New Roman" w:cs="Times New Roman"/>
              </w:rPr>
              <w:t xml:space="preserve">Завдання бюджетної програми</w:t>
            </w:r>
          </w:p>
        </w:tc>
        <w:tc>
          <w:tcPr>
     </w:tcPr>
          <w:p>
            <w:pPr>
              <w:pStyle w:val="EMPTY_CELL_STYLE"/>
            </w:pPr>
          </w:p>
        </w:tc>
      </w:tr>
      <w:tr>
        <w:trPr>
          <w:trHeight w:hRule="exact" w:val="52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w:t>
              <w:br/>
              <w:t xml:space="preserve">з/п</w:t>
            </w:r>
          </w:p>
        </w:tc>
        <w:tc>
          <w:tcPr>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Завдання</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Times New Roman" w:hAnsi="Times New Roman" w:eastAsia="Times New Roman" w:cs="Times New Roman"/>
              </w:rPr>
              <w:t xml:space="preserve">1</w:t>
            </w:r>
          </w:p>
        </w:tc>
        <w:tc>
          <w:tcPr>
            <w:gridSpan w:val="1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Times New Roman" w:hAnsi="Times New Roman" w:eastAsia="Times New Roman" w:cs="Times New Roman"/>
              </w:rPr>
              <w:t xml:space="preserve">Повернення кредиту</w:t>
            </w:r>
          </w:p>
        </w:tc>
        <w:tc>
          <w:tcPr>
     </w:tcPr>
          <w:p>
            <w:pPr>
              <w:pStyle w:val="EMPTY_CELL_STYLE"/>
            </w:pPr>
          </w:p>
        </w:tc>
      </w:tr>
      <w:tr>
        <w:trPr>
          <w:trHeight w:hRule="exact" w:val="28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Результативні показники бюджетної програми</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w:t>
              <w:br/>
              <w:t xml:space="preserve">з/п</w:t>
            </w:r>
          </w:p>
        </w:tc>
        <w:tc>
          <w:tcPr>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Показники</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Одиниця виміру</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Попередній рік</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Звітний рік</w:t>
            </w:r>
          </w:p>
        </w:tc>
        <w:tc>
          <w:tcPr>
     </w:tcPr>
          <w:p>
            <w:pPr>
              <w:pStyle w:val="EMPTY_CELL_STYLE"/>
            </w:pPr>
          </w:p>
        </w:tc>
      </w:tr>
      <w:tr>
        <w:trPr>
          <w:trHeight w:hRule="exact" w:val="58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Pr>
          <w:p>
            <w:pPr>
              <w:pStyle w:val="EMPTY_CELL_STYLE"/>
            </w:pPr>
          </w:p>
        </w:tc>
      </w:tr>
      <w:tr>
        <w:trPr>
          <w:trHeight w:hRule="exact" w:val="260"/>
        </w:trPr>
        <w:tc>
          <w:tcPr>
     </w:tcPr>
          <w:p>
            <w:pPr>
              <w:pStyle w:val="EMPTY_CELL_STYLE"/>
            </w:pPr>
          </w:p>
        </w:tc>
        <w:tc>
          <w:tcPr>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28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Розрахунок основних параметрів оцінки</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а) розрахунок середнього індексу показників ефективності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I(еф)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б) розрахунок середнього індексу показників якості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I(як)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в) порівняння результативності бюджетної програми із показниками попередніх періодів</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I(1)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 = 0,00 0,0000 = I &lt; 0.85 = 0 балів </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Визначення ступеню ефективності</w:t>
              <w:br/>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Кінцевий розрахунок загальної ефективності бюджетної програми складається із загальної суми балів за кожним параметром оцінки:</w:t>
            </w:r>
          </w:p>
        </w:tc>
        <w:tc>
          <w:tcPr>
     </w:tcPr>
          <w:p>
            <w:pPr>
              <w:pStyle w:val="EMPTY_CELL_STYLE"/>
            </w:pPr>
          </w:p>
        </w:tc>
      </w:tr>
    </w:tbl>
    <w:tbl>
      <w:tblPr>
        <w:tblLayout w:type="fixed"/>
      </w:tblPr>
      <w:tblGrid>
        <w:gridCol w:w="560"/>
        <w:gridCol w:w="500"/>
        <w:gridCol w:w="480"/>
        <w:gridCol w:w="4820"/>
        <w:gridCol w:w="840"/>
        <w:gridCol w:w="840"/>
        <w:gridCol w:w="840"/>
        <w:gridCol w:w="840"/>
        <w:gridCol w:w="840"/>
        <w:gridCol w:w="4200"/>
        <w:gridCol w:w="840"/>
        <w:gridCol w:w="840"/>
        <w:gridCol w:w="400"/>
      </w:tblGrid>
      <w:tr>
        <w:trPr>
          <w:trHeight w:hRule="exact" w:val="84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gridSpan w:val="2"/>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Е =</w:t>
            </w:r>
          </w:p>
        </w:tc>
        <w:tc>
          <w:tcPr>
            <w:tcBorders>
              <w:top w:val="single" w:sz="6" w:space="0" w:color="000000"/>
              <w:bottom w:val="single" w:sz="6" w:space="0" w:color="000000"/>
            </w:tcBorders>
            <w:tcMar>
              <w:top w:w="20" w:type="dxa"/>
              <w:left w:w="20" w:type="dxa"/>
              <w:bottom w:w="20" w:type="dxa"/>
              <w:right w:w="20" w:type="dxa"/>
            </w:tcMar>
            <w:vAlign w:val="center"/>
          </w:tcPr>
          <w:p>
            <w:pPr>
              <w:ind/>
              <w:jc w:val="center"/>
            </w:pPr>
            <w:r>
              <w:rPr>
                <w:rFonts w:ascii="Times New Roman" w:hAnsi="Times New Roman" w:eastAsia="Times New Roman" w:cs="Times New Roman"/>
              </w:rPr>
              <w:t xml:space="preserve">I(еф) + I(як) + I(1) = </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102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Відповідно п.3.2. Методики здійснення порівняльного аналізу ефективності бюджетних програм, які виконуються розпорядниками коштів місцевих бюджетів, для бюджетних програм, які не містять групи результативних показників ефективності або якості, та бюджетних програм, для яких немає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зменшує відповідне значення шкали ефективності програми на 125</w:t>
            </w:r>
          </w:p>
        </w:tc>
        <w:tc>
          <w:tcPr>
     </w:tcPr>
          <w:p>
            <w:pPr>
              <w:pStyle w:val="EMPTY_CELL_STYLE"/>
            </w:pPr>
          </w:p>
        </w:tc>
      </w:tr>
      <w:tr>
        <w:trPr>
          <w:trHeight w:hRule="exact" w:val="46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При порівнянні отриманого значення зі шкалою оцінки ефективності бюджетних програм можемо зробити висновок, що дана програма має </w:t>
            </w:r>
            <w:r>
              <w:rPr>
                <w:rFonts w:ascii="Times New Roman" w:hAnsi="Times New Roman" w:eastAsia="Times New Roman" w:cs="Times New Roman"/>
                <w:b w:val="true"/>
                <w:u w:val="single"/>
              </w:rPr>
              <w:t xml:space="preserve">низьку ефективність</w:t>
            </w: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Міський голова</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Володимир МОСКАЛЕНКО</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Головний бухгалтер</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Наталія КАРБОВСЬКА</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6840" w:h="11900" w:orient="landscape"/>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