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0218410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0830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Фінансова підтримка засобів масової інформації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1. Підтримка електронних та інших засобів масової інформації. Реалізація заходів у галузі "Засоби масової інформації"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  <w:br/>
              <w:t xml:space="preserve">2. Дотримання державної політики в інформаційній та комунікативній сферах.</w:t>
              <w:br/>
              <w:t xml:space="preserve">3. Розвиток цифрових комунікацій.</w:t>
              <w:br/>
              <w:t xml:space="preserve">4. Оперативне інформування громадськості під час кризових або надзвичайних ситуацій.</w:t>
              <w:br/>
              <w:t xml:space="preserve">5. Сприяння формуванню неупередженої громадської думки та суспільної довіри.</w:t>
              <w:br/>
              <w:t xml:space="preserve">6. Забезпечення теле- та радіомовлення в межах програмних концепцій відповідно до ліцензій, виданих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13.05.2019р. (FM-радіо).</w:t>
              <w:br/>
              <w:t xml:space="preserve">7. Створення належних умов для виконання статутних зобов'язань КП КМР "ТО "Коростеньмедіа"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видатки на одиницю телерадіопродукту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грн/годин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обсягу телерадіопродукту в порівнянні з минулим періодом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охоплення інтернет-аудиторії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од.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 = 100,00 / 100,00 =  1,0000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