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0218240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0380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Заходи та роботи з територіальної оборони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належних умов для діяльності добровольчого формування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товарно-матеріальних цінностей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75,28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74,12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175,97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135 065,07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146,28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136 103,61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(1,20+0,99) / 2 * 100 = 109,77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109,77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(1,02) / 1 * 100 = 101,57 = 109,77 / 101,57 =  1,0808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109,77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234,77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