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560"/>
        <w:gridCol w:w="980"/>
        <w:gridCol w:w="2120"/>
        <w:gridCol w:w="1720"/>
        <w:gridCol w:w="9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АНАЛІЗ ЕФЕКТИВНОСТІ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за 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0200000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0210000</w:t>
            </w:r>
          </w:p>
        </w:tc>
        <w:tc>
          <w:tcPr>
            <w:gridSpan w:val="1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gridSpan w:val="14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0215041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0810 </w:t>
            </w:r>
          </w:p>
        </w:tc>
        <w:tc>
          <w:tcPr>
            <w:gridSpan w:val="1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Утримання та фінансова підтримка спортивних споруд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(КПКВК ДБ(МБ))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(КФКВК)</w:t>
            </w:r>
          </w:p>
        </w:tc>
        <w:tc>
          <w:tcPr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Результативні показники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Попередній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Звітний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паспортом бюджетної програми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Виконано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Індекс співвідношення показників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3 485 300,00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3 484 834,00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3 685 100,00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3 685 026,00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9 833,85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9 833,85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9 689,90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9 689,90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47,00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відсоток погашеної заборгованості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2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Розрахунок основних параметрів оцінки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а) розрахунок середнього індексу показників ефективності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I(еф) =</w:t>
            </w:r>
          </w:p>
        </w:tc>
        <w:tc>
          <w:tcPr>
            <w:gridSpan w:val="1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(1,00+1,00) / 2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б) розрахунок середнього індексу показників якості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560"/>
        <w:gridCol w:w="500"/>
        <w:gridCol w:w="480"/>
        <w:gridCol w:w="4820"/>
        <w:gridCol w:w="840"/>
        <w:gridCol w:w="840"/>
        <w:gridCol w:w="840"/>
        <w:gridCol w:w="840"/>
        <w:gridCol w:w="840"/>
        <w:gridCol w:w="4200"/>
        <w:gridCol w:w="840"/>
        <w:gridCol w:w="840"/>
        <w:gridCol w:w="400"/>
      </w:tblGrid>
      <w:tr>
        <w:trPr>
          <w:trHeight w:hRule="exact" w:val="8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I(як)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(1,00+1,00) / 2 * 100 = 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в) порівняння результативності бюджетної програми із показниками попередніх періодів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I(1) =</w:t>
            </w:r>
          </w:p>
        </w:tc>
        <w:tc>
          <w:tcPr>
            <w:gridSpan w:val="7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(1,00+1,00) / 2 * 100 = 100,01 = 100,00 / 100,01 =  0,9999 = 0.85 &lt;= I &lt; 1 = 15 балів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Визначення ступеню ефективності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</w:rPr>
              <w:t xml:space="preserve">Кінцевий розрахунок загальної ефективності бюджетної програми складається із загальної суми балів за кожним параметром оцінки: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</w:pPr>
            <w:r>
              <w:rPr>
                <w:rFonts w:ascii="Times New Roman" w:hAnsi="Times New Roman" w:eastAsia="Times New Roman" w:cs="Times New Roman"/>
              </w:rPr>
              <w:t xml:space="preserve">Е =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I(еф) + I(як) + I(1) = 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+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15,00</w:t>
            </w:r>
          </w:p>
        </w:tc>
        <w:tc>
          <w:tcPr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=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215,00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При порівнянні отриманого значення зі шкалою оцінки ефективності бюджетних програм можемо зробити висновок, що дана програма має </w:t>
            </w:r>
            <w:r>
              <w:rPr>
                <w:rFonts w:ascii="Times New Roman" w:hAnsi="Times New Roman" w:eastAsia="Times New Roman" w:cs="Times New Roman"/>
                <w:b w:val="true"/>
                <w:u w:val="single"/>
              </w:rPr>
              <w:t xml:space="preserve">високу ефективність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Міський голова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Володимир МОСКАЛЕНКО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20" w:type="dxa"/>
              <w:right w:w="0" w:type="dxa"/>
            </w:tcMar>
            <w:vAlign w:val="bottom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