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40"/>
        <w:gridCol w:w="20"/>
        <w:gridCol w:w="20"/>
        <w:gridCol w:w="380"/>
        <w:gridCol w:w="320"/>
        <w:gridCol w:w="160"/>
        <w:gridCol w:w="20"/>
        <w:gridCol w:w="80"/>
        <w:gridCol w:w="240"/>
        <w:gridCol w:w="60"/>
        <w:gridCol w:w="20"/>
        <w:gridCol w:w="420"/>
        <w:gridCol w:w="80"/>
        <w:gridCol w:w="20"/>
        <w:gridCol w:w="60"/>
        <w:gridCol w:w="100"/>
        <w:gridCol w:w="420"/>
        <w:gridCol w:w="20"/>
        <w:gridCol w:w="260"/>
        <w:gridCol w:w="20"/>
        <w:gridCol w:w="100"/>
        <w:gridCol w:w="20"/>
        <w:gridCol w:w="60"/>
        <w:gridCol w:w="40"/>
        <w:gridCol w:w="60"/>
        <w:gridCol w:w="340"/>
        <w:gridCol w:w="180"/>
        <w:gridCol w:w="100"/>
        <w:gridCol w:w="20"/>
        <w:gridCol w:w="180"/>
        <w:gridCol w:w="20"/>
        <w:gridCol w:w="60"/>
        <w:gridCol w:w="100"/>
        <w:gridCol w:w="40"/>
        <w:gridCol w:w="60"/>
        <w:gridCol w:w="420"/>
        <w:gridCol w:w="100"/>
        <w:gridCol w:w="120"/>
        <w:gridCol w:w="20"/>
        <w:gridCol w:w="40"/>
        <w:gridCol w:w="40"/>
        <w:gridCol w:w="80"/>
        <w:gridCol w:w="20"/>
        <w:gridCol w:w="80"/>
        <w:gridCol w:w="120"/>
        <w:gridCol w:w="280"/>
        <w:gridCol w:w="80"/>
        <w:gridCol w:w="40"/>
        <w:gridCol w:w="300"/>
        <w:gridCol w:w="80"/>
        <w:gridCol w:w="20"/>
        <w:gridCol w:w="80"/>
        <w:gridCol w:w="20"/>
        <w:gridCol w:w="200"/>
        <w:gridCol w:w="80"/>
        <w:gridCol w:w="320"/>
        <w:gridCol w:w="200"/>
        <w:gridCol w:w="60"/>
        <w:gridCol w:w="20"/>
        <w:gridCol w:w="100"/>
        <w:gridCol w:w="20"/>
        <w:gridCol w:w="180"/>
        <w:gridCol w:w="20"/>
        <w:gridCol w:w="100"/>
        <w:gridCol w:w="400"/>
        <w:gridCol w:w="100"/>
        <w:gridCol w:w="80"/>
        <w:gridCol w:w="100"/>
        <w:gridCol w:w="20"/>
        <w:gridCol w:w="80"/>
        <w:gridCol w:w="160"/>
        <w:gridCol w:w="160"/>
        <w:gridCol w:w="80"/>
        <w:gridCol w:w="320"/>
        <w:gridCol w:w="60"/>
        <w:gridCol w:w="20"/>
        <w:gridCol w:w="100"/>
        <w:gridCol w:w="120"/>
        <w:gridCol w:w="400"/>
        <w:gridCol w:w="100"/>
        <w:gridCol w:w="100"/>
        <w:gridCol w:w="100"/>
        <w:gridCol w:w="80"/>
        <w:gridCol w:w="40"/>
        <w:gridCol w:w="80"/>
        <w:gridCol w:w="100"/>
        <w:gridCol w:w="500"/>
        <w:gridCol w:w="180"/>
        <w:gridCol w:w="40"/>
        <w:gridCol w:w="40"/>
        <w:gridCol w:w="20"/>
        <w:gridCol w:w="20"/>
        <w:gridCol w:w="20"/>
        <w:gridCol w:w="40"/>
        <w:gridCol w:w="40"/>
        <w:gridCol w:w="260"/>
        <w:gridCol w:w="100"/>
      </w:tblGrid>
      <w:tr w:rsidR="001A271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1A2716" w:rsidRDefault="001A271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1A2716" w:rsidRDefault="001A2716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1A2716" w:rsidRDefault="001A2716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1A2716" w:rsidRDefault="001A271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b/>
                <w:sz w:val="24"/>
              </w:rPr>
              <w:t>БЮДЖЕТНИЙ ЗАПИТ НА 2024 – 2026 РОКИ індивідуальний ( Форма 2024-2)</w:t>
            </w: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1A2716" w:rsidRDefault="001A2716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1A2716" w:rsidRDefault="001A2716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1A2716" w:rsidRDefault="001A2716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2716" w:rsidRDefault="00EC6272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2716" w:rsidRDefault="00EC6272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2716" w:rsidRDefault="00EC6272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A2716" w:rsidRDefault="00EC6272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A2716" w:rsidRDefault="00EC6272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1A2716" w:rsidRDefault="00EC6272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jc w:val="center"/>
            </w:pPr>
            <w:r>
              <w:t>0218410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jc w:val="center"/>
            </w:pPr>
            <w:r>
              <w:t>8410</w:t>
            </w:r>
          </w:p>
        </w:tc>
        <w:tc>
          <w:tcPr>
            <w:tcW w:w="176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jc w:val="center"/>
            </w:pPr>
            <w:r>
              <w:t>0830</w:t>
            </w:r>
          </w:p>
        </w:tc>
        <w:tc>
          <w:tcPr>
            <w:tcW w:w="6520" w:type="dxa"/>
            <w:gridSpan w:val="5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jc w:val="both"/>
            </w:pPr>
            <w:r>
              <w:t>Фінансова підтримка засобів масової інформації</w:t>
            </w:r>
          </w:p>
        </w:tc>
        <w:tc>
          <w:tcPr>
            <w:tcW w:w="2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jc w:val="center"/>
            </w:pPr>
            <w:r>
              <w:t>0656300000</w:t>
            </w: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EC6272">
            <w:r>
              <w:rPr>
                <w:b/>
              </w:rPr>
              <w:t>4. Мета та завдання бюджетної програми на 2024 - 2026 роки:</w:t>
            </w: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A2716" w:rsidRDefault="00EC6272">
            <w:pPr>
              <w:spacing w:after="200"/>
              <w:ind w:left="500"/>
            </w:pPr>
            <w:r>
              <w:t>Забезпечення інформування громади щодо діяльності місцевих органів влади через сприяння діяльності телерадіомовлення та реалізація заходів у галузі "Засоби масової інформації". Створення належних умов для виконання статутних зобов'язань КП КМР "ТО"Коростен</w:t>
            </w:r>
            <w:r>
              <w:t xml:space="preserve">ьмедіа" </w:t>
            </w:r>
          </w:p>
        </w:tc>
        <w:tc>
          <w:tcPr>
            <w:tcW w:w="360" w:type="dxa"/>
            <w:gridSpan w:val="2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320"/>
        </w:trPr>
        <w:tc>
          <w:tcPr>
            <w:tcW w:w="4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1A2716" w:rsidRDefault="00EC6272">
            <w:pPr>
              <w:ind w:left="500"/>
            </w:pPr>
            <w:r>
              <w:t>1. Підтримка електронних та інших засобів масової інформації. Реалізація заходів у галузі "Засоби масової інформації"</w:t>
            </w:r>
            <w:r>
              <w:t xml:space="preserve"> та моніторинг інформаційного середовища. Підтримка і розвиток засобів масової інформації комунальної форми власності Коростенської міської ради.</w:t>
            </w:r>
            <w:r>
              <w:br/>
              <w:t>2. Дотримання державної політики в інформаційній та комунікативній сферах.</w:t>
            </w:r>
            <w:r>
              <w:br/>
              <w:t>3. Розвиток цифрових комунікацій.</w:t>
            </w:r>
            <w:r>
              <w:br/>
              <w:t>4</w:t>
            </w:r>
            <w:r>
              <w:t>. Оперативне інформування громадськості під час кризових або надзвичайних ситуацій.</w:t>
            </w:r>
            <w:r>
              <w:br/>
              <w:t>5. Сприяння формуванню неупередженої громадської думки та суспільної довіри.</w:t>
            </w:r>
            <w:r>
              <w:br/>
              <w:t>6. Забезпечення теле- та радіомовлення в межах програмних концепцій відповідно до ліцензій, вид</w:t>
            </w:r>
            <w:r>
              <w:t>аних Національною радою України з питань телебачення і радіомовлення серії НР№01338-м від 27.07.2018р. (радіо), серії НР№ 01354-м від 14.09.2018р. (багатоканальне мовлення), серії НР№ 1337-м від 27.07.2018р. (кабельне мовлення), НР№ 01492-м від 13.05.2019р</w:t>
            </w:r>
            <w:r>
              <w:t>. (FM-радіо).</w:t>
            </w:r>
            <w:r>
              <w:br/>
              <w:t>7. Створення належних умов для виконання статутних зобов'язань КП КМР "ТО "Коростеньмедіа"</w:t>
            </w:r>
          </w:p>
        </w:tc>
        <w:tc>
          <w:tcPr>
            <w:tcW w:w="360" w:type="dxa"/>
            <w:gridSpan w:val="2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3020"/>
        </w:trPr>
        <w:tc>
          <w:tcPr>
            <w:tcW w:w="44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A2716" w:rsidRDefault="00EC6272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</w:t>
            </w:r>
            <w:r>
              <w:t>10р. №2456-VI із змінами;</w:t>
            </w:r>
            <w:r>
              <w:br/>
              <w:t>- Закон України від 03.11.2022р. №2710-ІХ "Про Державний бюджет України на 2023 рік"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 xml:space="preserve">- Наказ Міністерства фінансів України </w:t>
            </w:r>
            <w:r>
              <w:t>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</w:t>
            </w:r>
            <w:r>
              <w:t>ї міської територіальної громади на 2023 рік"зі змінами;</w:t>
            </w:r>
            <w:r>
              <w:br/>
              <w:t xml:space="preserve">- Рішення тридцять п'ятої сесії VII скликання Коростенської міської ради від 28.11.2019р. №1657 "Про затвердження Програми підтримки і розвитку засобів масової інформації комунальної форми власності </w:t>
            </w:r>
            <w:r>
              <w:t>Коростенської міської ради на 2020-2022 роки "із змінами.</w:t>
            </w:r>
            <w:r>
              <w:br/>
              <w:t>- Звіт про виконання бюджетної програми місцевого бюджету за 2022рік.</w:t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2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A2716" w:rsidRDefault="001A2716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EC6272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r>
              <w:rPr>
                <w:b/>
              </w:rPr>
              <w:t>1) надходження для виконання бюджетної програми у 2022 - 2024 роках:</w:t>
            </w:r>
          </w:p>
        </w:tc>
        <w:tc>
          <w:tcPr>
            <w:tcW w:w="2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716" w:rsidRDefault="00EC627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t>2022 рік (звіт)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t>2023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t>2024 рік (проект)</w:t>
            </w:r>
          </w:p>
        </w:tc>
        <w:tc>
          <w:tcPr>
            <w:tcW w:w="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3 940 000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3 940 000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4 549 700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4 549 700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5 606 000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5 606 000</w:t>
            </w:r>
          </w:p>
        </w:tc>
        <w:tc>
          <w:tcPr>
            <w:tcW w:w="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4 549 700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4 549 700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5 606 000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5 606 000</w:t>
            </w:r>
          </w:p>
        </w:tc>
        <w:tc>
          <w:tcPr>
            <w:tcW w:w="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r>
              <w:rPr>
                <w:b/>
              </w:rPr>
              <w:t>2) надходження для виконання бюджетної програми у 2025-2026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716" w:rsidRDefault="00EC627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t>2025 рік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t>2026 рік (прогноз)</w:t>
            </w:r>
          </w:p>
        </w:tc>
        <w:tc>
          <w:tcPr>
            <w:tcW w:w="2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5 230 000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5 230 000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5 500 000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5 500 000</w:t>
            </w:r>
          </w:p>
        </w:tc>
        <w:tc>
          <w:tcPr>
            <w:tcW w:w="2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5 230 000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5 230 000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5 500 000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5 500 000</w:t>
            </w:r>
          </w:p>
        </w:tc>
        <w:tc>
          <w:tcPr>
            <w:tcW w:w="2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EC6272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r>
              <w:rPr>
                <w:b/>
              </w:rPr>
              <w:t xml:space="preserve">1) видатки за кодами Економічної класифікації видатків бюджету у 2022 - 2024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716" w:rsidRDefault="00EC627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3 940 000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4 549 700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4 549 700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5 606 000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5 606 000</w:t>
            </w: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4 549 700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4 549 700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5 606 000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5 606 000</w:t>
            </w: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2716" w:rsidRDefault="001A2716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r>
              <w:rPr>
                <w:b/>
              </w:rPr>
              <w:t xml:space="preserve">2) надання кредитів за кодами Класифікації кредитування бюджету у 2022 - 2024 роках: </w:t>
            </w: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716" w:rsidRDefault="00EC627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r>
              <w:rPr>
                <w:b/>
              </w:rPr>
              <w:t>3) видатки за кодами Економічної класифікації видатків бюджету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716" w:rsidRDefault="00EC627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5 230 000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5 230 000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5 500 000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5 500 000</w:t>
            </w: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5 230 000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5 230 000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5 500 000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5 500 000</w:t>
            </w: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r>
              <w:rPr>
                <w:b/>
              </w:rPr>
              <w:t>4) надання кредитів за кодами Класифікації кредитування бюджету у 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716" w:rsidRDefault="00EC627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EC6272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r>
              <w:rPr>
                <w:b/>
              </w:rPr>
              <w:t>1) витрати за напрямами використання бюджетних коштів у 2022 - 2024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716" w:rsidRDefault="00EC627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Підтримка електронних комунальних засобів масової інформації, засновниками яких є Коростенська територіальна громада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3 940 000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4 549 700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4 549 700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5 606 000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5 606 000</w:t>
            </w: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2716" w:rsidRDefault="001A2716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4 549 700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4 549 700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5 606 000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5 606 000</w:t>
            </w: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r>
              <w:rPr>
                <w:b/>
              </w:rPr>
              <w:t>2) витрати за напрямами використання бюджетних коштів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716" w:rsidRDefault="00EC627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Підтримка електронних комунальних засобів масової інформації, засновниками яких є Коростенська територіальна громада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5 230 000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5 230 000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5 500 000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5 500 000</w:t>
            </w: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5 230 000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5 230 000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5 500 000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5 500 000</w:t>
            </w: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EC6272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r>
              <w:rPr>
                <w:b/>
              </w:rPr>
              <w:t>1) результативні показники бюджетної програми у 2022 - 2024 роках:</w:t>
            </w: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1A271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1A2716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1A2716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телеканалів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роботи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FM-радіостанцій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роботи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платформ в мережі Інтернет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роботи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ставок журналістів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ставок, інших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телерадіопродукту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годин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роботи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10220,00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10220,00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10220,00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10220,00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11892,00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11892,00</w:t>
            </w: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видатки на одиницю телерадіопродукту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грн/годин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385,52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385,52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445,18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445,18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471,40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471,40</w:t>
            </w: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обсягу телерадіопродукту в порівнянні з минулим періодом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102,00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102,00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116,36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116,36</w:t>
            </w: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охоплення інтернет-аудиторії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25000,00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25000,00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30000,00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30000,00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30000,00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30000,00</w:t>
            </w: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частка фінансової підтримки за рахунок коштів місцевого бюджету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75,00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75,00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84,86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84,86</w:t>
            </w: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2716" w:rsidRDefault="001A2716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A2716" w:rsidRDefault="001A2716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r>
              <w:rPr>
                <w:b/>
              </w:rPr>
              <w:t>2) результативні показники бюджетної програми у   2025-2026 роках:</w:t>
            </w: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телеканалів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роботи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FM-радіостанцій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роботи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платформ в мережі Інтернет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роботи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ставок журналістів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ставок, інших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19,50</w:t>
            </w: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телерадіопродукту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годин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план роботи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17520,00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17520,00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17520,00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17520,00</w:t>
            </w: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видатки на одиницю телерадіопродукту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грн/годин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розрахункові дані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298,51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298,51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313,92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313,92</w:t>
            </w: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обсягу телерадіопродукту в порівнянні з минулим періодом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охоплення інтернет-аудиторії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45000,00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45000,00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50000,00</w:t>
            </w: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частка фінансової підтримки за рахунок коштів місцевого бюджету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95,00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95,00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95,00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95,00</w:t>
            </w: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A2716" w:rsidRDefault="001A2716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A2716" w:rsidRDefault="001A2716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408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716" w:rsidRDefault="00EC627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left="60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4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1A2716" w:rsidRDefault="001A2716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20" w:type="dxa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CellMar>
            <w:top w:w="0" w:type="dxa"/>
            <w:bottom w:w="0" w:type="dxa"/>
          </w:tblCellMar>
        </w:tblPrEx>
        <w:trPr>
          <w:trHeight w:hRule="exact" w:val="236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1A2716" w:rsidRDefault="001A2716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 xml:space="preserve">2025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 xml:space="preserve">2026 рік </w:t>
            </w: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1A2716" w:rsidRDefault="00EC627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1A2716">
            <w:pPr>
              <w:ind w:right="60"/>
              <w:jc w:val="right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12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r>
              <w:rPr>
                <w:b/>
              </w:rPr>
              <w:t>1) місцеві/регіональні програми, які виконуються в межах бюджетної програми у 2022 - 2024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716" w:rsidRDefault="00EC627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0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підтримки і розвитку засобів масової інформації  Коростенської міської територіальної громади на 2023-2025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№1034 від 24.11.2022р.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3 940 000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3 940 000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4 549 700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4 549 700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5 606 000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5 606 000</w:t>
            </w: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4 549 700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4 549 700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5 606 000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5 606 000</w:t>
            </w: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r>
              <w:rPr>
                <w:b/>
              </w:rPr>
              <w:t>2) місцеві/регіональні програми, які виконуються в межах бюджетної програми у 2025-2026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716" w:rsidRDefault="00EC627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0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підтримки і розвитку засобів масової інформації  Коростенської міської територіальної громади на 2023-2025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№1034 від 24.11.2022р.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5 230 000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5 230 000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5 500 000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5 500 000</w:t>
            </w: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5 230 000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5 230 000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5 500 000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5 500 000</w:t>
            </w: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09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1A2716" w:rsidRDefault="001A2716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r>
              <w:rPr>
                <w:b/>
              </w:rPr>
              <w:t>12. Об'єкти, які виконуються в межах бюджетної програми за рахунок коштів бюджету розвитку у 2022 - 2024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716" w:rsidRDefault="00EC627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</w:t>
            </w:r>
            <w:r>
              <w:rPr>
                <w:sz w:val="16"/>
              </w:rPr>
              <w:t>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2022 році, очікувані результати у 2023 році, обґрунтування необхідності передбачення витрат на 2024 - 2026 роки.</w:t>
            </w: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A2716" w:rsidRDefault="00EC6272">
            <w:pPr>
              <w:spacing w:after="200"/>
            </w:pPr>
            <w:r>
              <w:t>В 2022 році касові видатки становили - 3940000,00 грн. У 2023 році затверджено кошторисних асигнувань - 4549700,00 грн. Всі завдання виконані. Заборгованість відсутня. В 2024 році передбачаються видатки в сумі -  5606000,00 грн.</w:t>
            </w: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r>
              <w:rPr>
                <w:b/>
              </w:rPr>
              <w:t xml:space="preserve">14. Бюджетні зобов'язання у 2022 і 2024 роках : </w:t>
            </w: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r>
              <w:rPr>
                <w:b/>
              </w:rPr>
              <w:t>1) кредиторська заборгованість місцевого бюджету у 2022 році:</w:t>
            </w: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716" w:rsidRDefault="00EC627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3 940 000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3 940 000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3 940 000</w:t>
            </w: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r>
              <w:rPr>
                <w:b/>
              </w:rPr>
              <w:t xml:space="preserve">2) кредиторська заборгованість місцевого бюджету у   2023-2024 роках: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716" w:rsidRDefault="00EC627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t>2023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t>2024 рік</w:t>
            </w: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4 549 700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4 549 700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5 606 000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5 606 000</w:t>
            </w: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4 549 700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4 549 700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5 606 000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5 606 000</w:t>
            </w: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A2716" w:rsidRDefault="001A2716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1A2716" w:rsidRDefault="00EC6272">
            <w:r>
              <w:rPr>
                <w:b/>
              </w:rPr>
              <w:t>3) дебіторська заборгованість у 2022-2023 роках: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2716" w:rsidRDefault="00EC627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Дебіторська заборгованість на 01.01.2023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01.01.2024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3 940 000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3 940 000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1A2716">
            <w:pPr>
              <w:ind w:left="60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3 940 000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2716" w:rsidRDefault="00EC627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1A2716">
            <w:pPr>
              <w:jc w:val="center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pPr>
              <w:ind w:left="400"/>
            </w:pPr>
            <w:r>
              <w:rPr>
                <w:b/>
              </w:rPr>
              <w:t>4) аналіз управління бюджетними зобов'</w:t>
            </w:r>
            <w:r>
              <w:rPr>
                <w:b/>
              </w:rPr>
              <w:t>язаннями та пропозиції щодо упорядкування бюджетних зобов'язань у 2024 році</w:t>
            </w: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A2716" w:rsidRDefault="00EC6272">
            <w:pPr>
              <w:spacing w:after="200"/>
              <w:ind w:left="400"/>
              <w:jc w:val="both"/>
            </w:pPr>
            <w:r>
              <w:t>На 2024 рік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716" w:rsidRDefault="00EC6272">
            <w:r>
              <w:rPr>
                <w:b/>
              </w:rPr>
              <w:t>15. Підстави та обґрунтування видатків спеціального фонду на 2024 рік та на 2025 - 2026 роки за рахунок надходжень до спеціального фонду, аналіз результатів, досягнутих внаслідок використання коштів спеціального фонду бюджету у 2023 році, та очікувані резу</w:t>
            </w:r>
            <w:r>
              <w:rPr>
                <w:b/>
              </w:rPr>
              <w:t>льтати у 2024 році.</w:t>
            </w: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A2716" w:rsidRDefault="001A2716">
            <w:pPr>
              <w:spacing w:after="200"/>
              <w:jc w:val="both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EC6272">
            <w:r>
              <w:t>Володимир МОСКАЛЕНКО</w:t>
            </w:r>
          </w:p>
        </w:tc>
        <w:tc>
          <w:tcPr>
            <w:tcW w:w="0" w:type="auto"/>
            <w:gridSpan w:val="10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EC6272">
            <w:r>
              <w:rPr>
                <w:b/>
                <w:sz w:val="16"/>
              </w:rPr>
              <w:t>Заступник начальника відділу-заступник головного бухгалтера</w:t>
            </w:r>
          </w:p>
        </w:tc>
        <w:tc>
          <w:tcPr>
            <w:tcW w:w="0" w:type="auto"/>
            <w:gridSpan w:val="9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EC6272">
            <w:r>
              <w:t>Олена ДУБРАВСЬКА</w:t>
            </w:r>
          </w:p>
        </w:tc>
        <w:tc>
          <w:tcPr>
            <w:tcW w:w="0" w:type="auto"/>
            <w:gridSpan w:val="10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  <w:tr w:rsidR="001A2716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716" w:rsidRDefault="00EC6272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1A2716" w:rsidRDefault="001A2716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1A2716" w:rsidRDefault="001A2716">
            <w:pPr>
              <w:pStyle w:val="EMPTYCELLSTYLE"/>
            </w:pPr>
          </w:p>
        </w:tc>
      </w:tr>
    </w:tbl>
    <w:p w:rsidR="00EC6272" w:rsidRDefault="00EC6272"/>
    <w:sectPr w:rsidR="00EC627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1A2716"/>
    <w:rsid w:val="001A2716"/>
    <w:rsid w:val="0088067C"/>
    <w:rsid w:val="00B83C8E"/>
    <w:rsid w:val="00E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2023-12-21T08:41:00Z</dcterms:created>
  <dcterms:modified xsi:type="dcterms:W3CDTF">2023-12-21T08:41:00Z</dcterms:modified>
</cp:coreProperties>
</file>