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DF08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DF08F5" w:rsidRDefault="00DF08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DF08F5" w:rsidRDefault="00DF08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08F5" w:rsidRDefault="009A273E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08F5" w:rsidRDefault="009A273E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F08F5" w:rsidRDefault="009A273E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F08F5" w:rsidRDefault="009A273E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t>0215012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t>5012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F08F5" w:rsidRDefault="009A273E">
            <w:pPr>
              <w:spacing w:after="200"/>
              <w:ind w:left="50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400"/>
            </w:pPr>
            <w:r>
              <w:rPr>
                <w:b/>
              </w:rPr>
              <w:t>2)  завдання бюджетної про</w:t>
            </w:r>
            <w:r>
              <w:rPr>
                <w:b/>
              </w:rPr>
              <w:t>грами;</w:t>
            </w: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DF08F5" w:rsidRDefault="009A273E">
            <w:pPr>
              <w:ind w:left="50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F08F5" w:rsidRDefault="009A273E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рік"зі змінами;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</w:t>
            </w:r>
            <w:r>
              <w:t>нській міській територіальній громаді на 2021-2025 роки" із змінами.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  <w:r>
              <w:br/>
            </w: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DF08F5" w:rsidRDefault="00DF08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DF08F5" w:rsidRDefault="00DF08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F08F5" w:rsidRDefault="00DF08F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64 042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64 042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526 040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526 040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525 000</w:t>
            </w: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526 040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526 040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561 800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561 800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594 400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594 400</w:t>
            </w: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561 800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561 800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594 400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594 400</w:t>
            </w: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22 440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22 440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310 000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310 000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10 102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10 102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115 040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115 040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31 500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86 000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86 000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526 040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526 040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21 400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21 400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22 600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331 700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351 000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351 000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53 500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53 500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56 600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56 600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21 400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21 400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22 700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133 800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133 800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141 500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141 500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561 800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561 800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594 400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594 400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64 042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Погашення кредиторської заборгованості, зареєстрованої станом на 01.01.2023р.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1 040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1 040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526 040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526 040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561 800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561 800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594 400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594 400</w:t>
            </w: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561 800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561 800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594 400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594 400</w:t>
            </w: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кредиторської заборгованості минулих років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1,04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1,04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2982,00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2982,00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яким призначено стипендії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турів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регламент про проведення чемпіонату Коростенської міської територіальної громади з футзалу серед чоловіків сезону 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2023 року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команд-учасниць чемпіонату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2583,25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2583,25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7790,70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7790,70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7790,70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7790,70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4180,00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4180,00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туру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625,00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нагородження команди-переможниці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відділу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вчасно виконаних завдань відповідно до запланованих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погашеної заборгованості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турів змагань, відповідно до запланованої кількості на початку року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регламент про 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яким призначено стипендії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турів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регламент про 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команд-учасниць чемпіонату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7790,70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7790,70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7790,70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7790,70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туру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625,00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нагородження команди-переможниці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відділу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вчасно виконаних завдань відповідно до запланованих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турів змагань, відповідно до запланованої кількості на початку року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регламент про 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4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F08F5" w:rsidRDefault="00DF08F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20" w:type="dxa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DF08F5" w:rsidRDefault="00DF08F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DF08F5">
            <w:pPr>
              <w:ind w:right="60"/>
              <w:jc w:val="right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Програми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64 042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64 042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526 040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526 040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525 000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525 000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526 040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526 040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Програми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561 800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561 800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594 400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594 400</w:t>
            </w: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561 800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561 800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594 400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594 400</w:t>
            </w: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DF08F5" w:rsidRDefault="00DF08F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</w:t>
            </w:r>
            <w:r>
              <w:rPr>
                <w:sz w:val="16"/>
              </w:rPr>
              <w:t>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</w:t>
            </w:r>
            <w:r>
              <w:rPr>
                <w:sz w:val="16"/>
              </w:rPr>
              <w:t>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F08F5" w:rsidRDefault="009A273E">
            <w:pPr>
              <w:spacing w:after="200"/>
            </w:pPr>
            <w:r>
              <w:t>У 2023 році затверджено кошторисних асигнувань - 526 040,00 грн. Всі завдання виконані. Заборгованість відсутня. В 2024 році передбачаються видатки в сумі -  525 000,00 грн.</w:t>
            </w: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22 440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22 440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12 300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10 102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1 040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1 040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11 142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71 000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31 500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31 500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105 800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1 040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1 040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65 082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310 000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115 040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1 040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1 040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114 000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2 250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2 250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86 000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86 000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526 040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1 040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1 040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527 250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527 250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DF08F5" w:rsidRDefault="009A273E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8F5" w:rsidRDefault="009A27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sz w:val="16"/>
              </w:rPr>
              <w:t xml:space="preserve">Очікувана </w:t>
            </w:r>
            <w:r>
              <w:rPr>
                <w:sz w:val="16"/>
              </w:rPr>
              <w:t>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22 440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left="60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12 300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10 102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left="60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71 000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31 500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DF08F5">
            <w:pPr>
              <w:ind w:left="60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105 800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64 042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08F5" w:rsidRDefault="009A27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DF08F5">
            <w:pPr>
              <w:jc w:val="center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F08F5" w:rsidRDefault="009A273E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F5" w:rsidRDefault="009A273E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F08F5" w:rsidRDefault="00DF08F5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r>
              <w:t>Володимир МОСКАЛЕНКО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r>
              <w:t>Олена ДУБРАВСЬКА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  <w:tr w:rsidR="00DF08F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8F5" w:rsidRDefault="009A273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F08F5" w:rsidRDefault="00DF08F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DF08F5" w:rsidRDefault="00DF08F5">
            <w:pPr>
              <w:pStyle w:val="EMPTYCELLSTYLE"/>
            </w:pPr>
          </w:p>
        </w:tc>
      </w:tr>
    </w:tbl>
    <w:p w:rsidR="009A273E" w:rsidRDefault="009A273E"/>
    <w:sectPr w:rsidR="009A273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F08F5"/>
    <w:rsid w:val="003514F9"/>
    <w:rsid w:val="009A273E"/>
    <w:rsid w:val="00D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2023-12-21T08:54:00Z</dcterms:created>
  <dcterms:modified xsi:type="dcterms:W3CDTF">2023-12-21T08:54:00Z</dcterms:modified>
</cp:coreProperties>
</file>