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20"/>
        <w:gridCol w:w="20"/>
        <w:gridCol w:w="20"/>
        <w:gridCol w:w="60"/>
        <w:gridCol w:w="40"/>
        <w:gridCol w:w="40"/>
        <w:gridCol w:w="160"/>
        <w:gridCol w:w="280"/>
        <w:gridCol w:w="80"/>
        <w:gridCol w:w="20"/>
        <w:gridCol w:w="280"/>
        <w:gridCol w:w="20"/>
        <w:gridCol w:w="80"/>
        <w:gridCol w:w="40"/>
        <w:gridCol w:w="40"/>
        <w:gridCol w:w="60"/>
        <w:gridCol w:w="200"/>
        <w:gridCol w:w="80"/>
        <w:gridCol w:w="300"/>
        <w:gridCol w:w="180"/>
        <w:gridCol w:w="20"/>
        <w:gridCol w:w="80"/>
        <w:gridCol w:w="80"/>
        <w:gridCol w:w="60"/>
        <w:gridCol w:w="180"/>
        <w:gridCol w:w="20"/>
        <w:gridCol w:w="100"/>
        <w:gridCol w:w="380"/>
        <w:gridCol w:w="80"/>
        <w:gridCol w:w="2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3A29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3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3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29A1" w:rsidRDefault="00210356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29A1" w:rsidRDefault="00210356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A29A1" w:rsidRDefault="00210356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A29A1" w:rsidRDefault="00210356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t>0210180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t>0180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t>0133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29A1" w:rsidRDefault="00210356">
            <w:pPr>
              <w:spacing w:after="200"/>
              <w:ind w:left="500"/>
            </w:pPr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3A29A1" w:rsidRDefault="00210356">
            <w:pPr>
              <w:ind w:left="50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29A1" w:rsidRDefault="00210356">
            <w:pPr>
              <w:ind w:left="500"/>
            </w:pPr>
            <w:r>
              <w:t>- Конституція України</w:t>
            </w:r>
            <w:r>
              <w:t xml:space="preserve">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</w:t>
            </w:r>
            <w:r>
              <w:t>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</w:t>
            </w:r>
            <w:r>
              <w:t>оростенської міської ради від 24.12.2020р. №67  "Про затвердження Програми розвитку місцевого самоврядування Коростенської міської територіальної громади на 2024-2026 роки" із змінами;</w:t>
            </w:r>
            <w:r>
              <w:br/>
              <w:t>- Лист фінансового управління виконавчого комітету Коростенської місько</w:t>
            </w:r>
            <w:r>
              <w:t>ї ради № 176/21-21 від 28.09.2023р</w:t>
            </w: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3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3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3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3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29A1" w:rsidRDefault="003A29A1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2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248 171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248 171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710 000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710 000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554 000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554 000</w:t>
            </w: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248 171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248 171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710 000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710 000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554 000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554 000</w:t>
            </w: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2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592 800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592 800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627 200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627 200</w:t>
            </w:r>
          </w:p>
        </w:tc>
        <w:tc>
          <w:tcPr>
            <w:tcW w:w="2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592 800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592 800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627 200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627 200</w:t>
            </w:r>
          </w:p>
        </w:tc>
        <w:tc>
          <w:tcPr>
            <w:tcW w:w="2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2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2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36 935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36 935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241 800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241 800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126 700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126 700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124 156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124 156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283 200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283 200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327 300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327 300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87 080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87 080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185 000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185 000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100 000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248 171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248 171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710 000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710 000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554 000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554 000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2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29A1" w:rsidRDefault="003A29A1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135 600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135 600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143 500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143 500</w:t>
            </w: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350 200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350 200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370 500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370 500</w:t>
            </w: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107 000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107 000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113 200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113 200</w:t>
            </w: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592 800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592 800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627 200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627 200</w:t>
            </w: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248 171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248 171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710 000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710 000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554 000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554 000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248 171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248 171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710 000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710 000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554 000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554 000</w:t>
            </w: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2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29A1" w:rsidRDefault="003A29A1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592 800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592 800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627 200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627 200</w:t>
            </w: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592 800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592 800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627 200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627 200</w:t>
            </w: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3A29A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3A29A1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3A29A1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відзначених осіб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міської ради, рішення виконкому, розпорядження міського голови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188,00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188,00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відвідувачів веб-сайту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320000,00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320000,00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320000,00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320000,00</w:t>
            </w: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заохочення та відзначення на1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531,91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531,91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840,00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840,00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кількість відвідувань офіційного сайту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26667,00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26667,00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26667,00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26667,00</w:t>
            </w: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кількості відзначених осіб відносно минулого року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133,00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133,00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відзначених осіб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рішення міської ради, 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80" w:type="dxa"/>
          </w:tcPr>
          <w:p w:rsidR="003A29A1" w:rsidRDefault="003A29A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виконкому, розпорядження міського голови</w:t>
            </w: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відвідувачів веб-сайту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320000,00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320000,00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320000,00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320000,00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заохочення та відзначення на1 особу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428,00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428,00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452,80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452,80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кількість відвідувань офіційного сайту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26667,00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26667,00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26667,00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26667,00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кількості відзначених осіб відносно минулого року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3A29A1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660"/>
        </w:trPr>
        <w:tc>
          <w:tcPr>
            <w:tcW w:w="0" w:type="auto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місцевого самоврядування Коростенської міської територіальної громади на 2024-2026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№1484 від 26.10.2023р.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248 171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248 171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710 000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710 000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554 000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554 000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248 171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248 171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710 000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710 000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554 000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554 000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місцевого самоврядування Коростенської міської територіальної громади на 2024-2026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№1484 від 26.10.2023р.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592 800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592 800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627 200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627 200</w:t>
            </w: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592 800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592 800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627 200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627 200</w:t>
            </w: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</w:t>
            </w:r>
            <w:r>
              <w:rPr>
                <w:sz w:val="16"/>
              </w:rPr>
              <w:t>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29A1" w:rsidRDefault="00210356">
            <w:pPr>
              <w:spacing w:after="200"/>
            </w:pPr>
            <w:r>
              <w:t>У 2023 році затверджено кошторисних асигнувань - 710 000,00 грн. Всі завдання виконані. Заборгованість відсутня. В 2024 році передбачаються видатки в сумі -  554 000,00 грн.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Погашено кредиторс</w:t>
            </w:r>
            <w:r>
              <w:rPr>
                <w:sz w:val="16"/>
              </w:rPr>
              <w:t>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36 996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36 935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36 935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194 360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124 156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124 156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88 044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87 080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87 080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319 400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248 171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248 171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оч</w:t>
            </w:r>
            <w:r>
              <w:rPr>
                <w:sz w:val="16"/>
              </w:rPr>
              <w:t>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241 800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241 800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126 700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126 700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283 200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283 200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327 300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327 300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185 000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185 000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710 000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710 000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554 000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554 000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3A29A1" w:rsidRDefault="00210356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9A1" w:rsidRDefault="002103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36 996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36 935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left="60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194 360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124 156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left="60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88 044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87 080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3A29A1">
            <w:pPr>
              <w:ind w:left="60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319 400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248 171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9A1" w:rsidRDefault="002103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3A29A1">
            <w:pPr>
              <w:jc w:val="center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pPr>
              <w:ind w:left="400"/>
            </w:pPr>
            <w:r>
              <w:rPr>
                <w:b/>
              </w:rPr>
              <w:t>4) аналіз управління бюджетними зобов'</w:t>
            </w:r>
            <w:r>
              <w:rPr>
                <w:b/>
              </w:rPr>
              <w:t>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29A1" w:rsidRDefault="00210356">
            <w:pPr>
              <w:spacing w:after="200"/>
              <w:ind w:left="400"/>
              <w:jc w:val="both"/>
            </w:pPr>
            <w:r>
              <w:t>На 2024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9A1" w:rsidRDefault="00210356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</w:t>
            </w:r>
            <w:r>
              <w:rPr>
                <w:b/>
              </w:rPr>
              <w:t>льтати у 2024 році.</w:t>
            </w: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29A1" w:rsidRDefault="003A29A1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r>
              <w:t>Володимир МОСКАЛЕНКО</w:t>
            </w:r>
          </w:p>
        </w:tc>
        <w:tc>
          <w:tcPr>
            <w:tcW w:w="0" w:type="auto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9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r>
              <w:t>Олена ДУБРАВСЬКА</w:t>
            </w:r>
          </w:p>
        </w:tc>
        <w:tc>
          <w:tcPr>
            <w:tcW w:w="0" w:type="auto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  <w:tr w:rsidR="003A29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9A1" w:rsidRDefault="0021035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</w:tcPr>
          <w:p w:rsidR="003A29A1" w:rsidRDefault="003A29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A29A1" w:rsidRDefault="003A29A1">
            <w:pPr>
              <w:pStyle w:val="EMPTYCELLSTYLE"/>
            </w:pPr>
          </w:p>
        </w:tc>
      </w:tr>
    </w:tbl>
    <w:p w:rsidR="00210356" w:rsidRDefault="00210356"/>
    <w:sectPr w:rsidR="0021035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A29A1"/>
    <w:rsid w:val="00210356"/>
    <w:rsid w:val="003A29A1"/>
    <w:rsid w:val="008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2023-12-21T08:02:00Z</dcterms:created>
  <dcterms:modified xsi:type="dcterms:W3CDTF">2023-12-21T08:02:00Z</dcterms:modified>
</cp:coreProperties>
</file>