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00"/>
        <w:gridCol w:w="2560"/>
        <w:gridCol w:w="3200"/>
        <w:gridCol w:w="1800"/>
        <w:gridCol w:w="1480"/>
        <w:gridCol w:w="1800"/>
        <w:gridCol w:w="2700"/>
        <w:gridCol w:w="18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ЗАТВЕРДЖЕНО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Arial" w:hAnsi="Arial" w:eastAsia="Arial" w:cs="Arial"/>
                <w:sz w:val="12.0"/>
              </w:rPr>
              <w:t xml:space="preserve">Наказ Міністерства фінансів України</w:t>
              <w:br/>
              <w:t xml:space="preserve">26 серпня 2014 року  № 836</w:t>
              <w:br/>
              <w:t xml:space="preserve">(у редакції наказу Міністерства фінансів України</w:t>
              <w:br/>
              <w:t xml:space="preserve">від 29 грудня 2018 року № 1209)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ЗАТВЕРДЖЕНО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Наказ / розпорядчий документ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14.07.2023 р. № 4п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32.0"/>
                <w:b w:val="true"/>
              </w:rPr>
              <w:t xml:space="preserve">Паспорт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бюджетної програми місцевого бюджету на 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gridSpan w:val="5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gridSpan w:val="5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(найменування відповідального виконавця)</w:t>
            </w: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0210160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0160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0111 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4. Обсяг бюджетних призначень/бюджетних асигнувань –</w:t>
            </w:r>
            <w:r>
              <w:rPr>
                <w:rFonts w:ascii="Times New Roman" w:hAnsi="Times New Roman" w:eastAsia="Times New Roman" w:cs="Times New Roman"/>
                <w:sz w:val="24.0"/>
                <w:u w:val="single"/>
              </w:rPr>
              <w:t xml:space="preserve">757229</w:t>
            </w:r>
            <w:r>
              <w:rPr>
                <w:rFonts w:ascii="Times New Roman" w:hAnsi="Times New Roman" w:eastAsia="Times New Roman" w:cs="Times New Roman"/>
                <w:sz w:val="24.0"/>
              </w:rPr>
              <w:t xml:space="preserve"> гривень , у тому числі загального фонду – </w:t>
            </w:r>
            <w:r>
              <w:rPr>
                <w:rFonts w:ascii="Times New Roman" w:hAnsi="Times New Roman" w:eastAsia="Times New Roman" w:cs="Times New Roman"/>
                <w:sz w:val="24.0"/>
                <w:u w:val="single"/>
              </w:rPr>
              <w:t xml:space="preserve">757229</w:t>
            </w:r>
            <w:r>
              <w:rPr>
                <w:rFonts w:ascii="Times New Roman" w:hAnsi="Times New Roman" w:eastAsia="Times New Roman" w:cs="Times New Roman"/>
                <w:sz w:val="24.0"/>
              </w:rPr>
              <w:t xml:space="preserve"> гривень та спеціального фонду – </w:t>
            </w:r>
            <w:r>
              <w:rPr>
                <w:rFonts w:ascii="Times New Roman" w:hAnsi="Times New Roman" w:eastAsia="Times New Roman" w:cs="Times New Roman"/>
                <w:sz w:val="24.0"/>
                <w:u w:val="singl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.0"/>
              </w:rPr>
              <w:t xml:space="preserve"> гривень 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5. Підстави для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03.11.2022р. №2710-ІХ "Про Державний бюджет України на 2023 рік";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Закон України від 07.06.2002р. №2496-ІІ "Про службу в органах місцевого самоврядування в Україні" зі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  <w:br/>
              <w:t xml:space="preserve">- Рішення 20 сесії VIII скликання  Коростенської міської ради від 23.02.2023р. №1119;</w:t>
              <w:br/>
              <w:t xml:space="preserve">- Рішення 24 сесії VIII скликання  Коростенської міської ради від 06.07.2023р. №1304.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6. Цілі державної політики, на досягнення яких спрямована реалізація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Ціль державної політики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700"/>
        <w:gridCol w:w="5760"/>
        <w:gridCol w:w="1800"/>
        <w:gridCol w:w="1800"/>
        <w:gridCol w:w="580"/>
        <w:gridCol w:w="1800"/>
        <w:gridCol w:w="1800"/>
        <w:gridCol w:w="18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7. Мета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8. 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виконання наданих законодавством повноважень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9. Напрями використання бюджетних коштів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Напрями використання бюджетних коштів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713 300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713 300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43 929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43 929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757 229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757 229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10. Перелік місцевих / регіональних програм, що виконуються у складі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Найменування місцевої / регіональної програми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11. Результативні показники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Одиниця виміру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Джерело</w:t>
              <w:br/>
              <w:t xml:space="preserve">інформації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кількість установ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мережа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обсяги витрат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кошторис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198 640,27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198 640,27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обсяги витрат на придбання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кошторис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500 260,00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500 260,00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обсяги витрат по внесках та зборах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14 400,00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14 400,00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звітні дані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43 928,73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700"/>
        <w:gridCol w:w="5760"/>
        <w:gridCol w:w="1800"/>
        <w:gridCol w:w="1480"/>
        <w:gridCol w:w="900"/>
        <w:gridCol w:w="1800"/>
        <w:gridCol w:w="1800"/>
        <w:gridCol w:w="18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кількість придбаних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7 909,00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7 909,00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кількість одиниць придбаних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342,00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кількість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середні витрати на придбання 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63,25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63,25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середні витрати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580,82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580,82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середні витрати на оплату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1 200,00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Виконуючий обов'язки міського голови, перший 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Володимир ВИГІВСЬКИЙ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(Власне ім'я, ПРІЗВИЩЕ)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ПОГОДЖЕНО: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Фінансове управління виконавчого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В.о. начальника фінансового управління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Оксана МЕЛЬНИЧЕНКО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(Власне ім'я, ПРІЗВИЩЕ)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14.07.2023 р.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