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440"/>
        <w:gridCol w:w="660"/>
        <w:gridCol w:w="400"/>
      </w:tblGrid>
      <w:tr w:rsidR="002A33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256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A33B0" w:rsidRDefault="002A33B0">
            <w:pPr>
              <w:pStyle w:val="EMPTYCELLSTYLE"/>
            </w:pPr>
          </w:p>
        </w:tc>
        <w:tc>
          <w:tcPr>
            <w:tcW w:w="32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8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02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8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256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A33B0" w:rsidRDefault="002A33B0">
            <w:pPr>
              <w:pStyle w:val="EMPTYCELLSTYLE"/>
            </w:pPr>
          </w:p>
        </w:tc>
        <w:tc>
          <w:tcPr>
            <w:tcW w:w="32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8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02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8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3B0" w:rsidRDefault="00913A8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256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A33B0" w:rsidRDefault="002A33B0">
            <w:pPr>
              <w:pStyle w:val="EMPTYCELLSTYLE"/>
            </w:pPr>
          </w:p>
        </w:tc>
        <w:tc>
          <w:tcPr>
            <w:tcW w:w="32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8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02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8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3B0" w:rsidRDefault="00913A8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01 листопада 2022 року № 359)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3B0" w:rsidRDefault="00913A8D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3B0" w:rsidRDefault="00913A8D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2022 рік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33B0" w:rsidRDefault="00913A8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33B0" w:rsidRDefault="00913A8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33B0" w:rsidRDefault="00913A8D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33B0" w:rsidRDefault="00913A8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A33B0" w:rsidRDefault="00913A8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A33B0" w:rsidRDefault="00913A8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2A33B0" w:rsidRDefault="00913A8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33B0" w:rsidRDefault="00913A8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33B0" w:rsidRDefault="00913A8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33B0" w:rsidRDefault="00913A8D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33B0" w:rsidRDefault="00913A8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A33B0" w:rsidRDefault="00913A8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A33B0" w:rsidRDefault="00913A8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2A33B0" w:rsidRDefault="00913A8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33B0" w:rsidRDefault="00913A8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33B0" w:rsidRDefault="00913A8D">
            <w:pPr>
              <w:jc w:val="center"/>
            </w:pPr>
            <w:r>
              <w:rPr>
                <w:b/>
              </w:rPr>
              <w:t>0218822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33B0" w:rsidRDefault="00913A8D">
            <w:pPr>
              <w:jc w:val="center"/>
            </w:pPr>
            <w:r>
              <w:t>8822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33B0" w:rsidRDefault="00913A8D">
            <w:pPr>
              <w:jc w:val="center"/>
            </w:pPr>
            <w:r>
              <w:t xml:space="preserve">  1060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33B0" w:rsidRDefault="00913A8D">
            <w:pPr>
              <w:ind w:left="60"/>
              <w:jc w:val="both"/>
            </w:pPr>
            <w:r>
              <w:t>Повернення пільгових довгострокових кредитів, наданих молодим сім`ям та одиноким молодим громадянам на будівництво/реконструкцію/придбання житла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33B0" w:rsidRDefault="00913A8D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33B0" w:rsidRDefault="00913A8D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33B0" w:rsidRDefault="00913A8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33B0" w:rsidRDefault="00913A8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33B0" w:rsidRDefault="00913A8D">
            <w:pPr>
              <w:ind w:left="60"/>
            </w:pPr>
            <w:r>
              <w:t>Повернення кредиту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3B0" w:rsidRDefault="00913A8D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r>
              <w:t>Забезпечення молодих сімей та одиноких молодих громадян житлом в м. Коростені на 2021-2024 роки через: пільгове довготермінове кредитування молодих сімей та одиноких молодих громадян за рахунок державних коштів, коштів міського бюджету, заощаджень населенн</w:t>
            </w:r>
            <w:r>
              <w:t>я, а також інших джерел фінансування, що не суперечить чинному законодавству. А також створення в м. Коростені сприятливих умов для розвитку молодіжного житлового будівництва, удосконалення механізмів придбання житла і забезпечення на цій основі подальшого</w:t>
            </w:r>
            <w:r>
              <w:t xml:space="preserve"> розвитку системи іпотечного житлового кредитування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33B0" w:rsidRDefault="00913A8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left="60"/>
            </w:pPr>
            <w:r>
              <w:t>Повернення кредиту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програмою:</w:t>
            </w:r>
          </w:p>
        </w:tc>
        <w:tc>
          <w:tcPr>
            <w:tcW w:w="11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r>
              <w:rPr>
                <w:sz w:val="24"/>
              </w:rPr>
              <w:t>7.1. Аналіз розділу «Видатки (надані кредити з бюджету) та напрями використання бюджетних коштів за бюджетною програмою»</w:t>
            </w:r>
          </w:p>
        </w:tc>
        <w:tc>
          <w:tcPr>
            <w:tcW w:w="11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256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A33B0" w:rsidRDefault="002A33B0">
            <w:pPr>
              <w:pStyle w:val="EMPTYCELLSTYLE"/>
            </w:pPr>
          </w:p>
        </w:tc>
        <w:tc>
          <w:tcPr>
            <w:tcW w:w="32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8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02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8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3B0" w:rsidRDefault="00913A8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256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A33B0" w:rsidRDefault="002A33B0">
            <w:pPr>
              <w:pStyle w:val="EMPTYCELLSTYLE"/>
            </w:pPr>
          </w:p>
        </w:tc>
        <w:tc>
          <w:tcPr>
            <w:tcW w:w="32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8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02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8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A33B0" w:rsidRDefault="002A33B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44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44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66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33B0" w:rsidRDefault="00913A8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Повернення кредиту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right="60"/>
              <w:jc w:val="right"/>
            </w:pPr>
            <w:r>
              <w:rPr>
                <w:sz w:val="16"/>
              </w:rPr>
              <w:t>-19448,00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right="60"/>
              <w:jc w:val="right"/>
            </w:pPr>
            <w:r>
              <w:rPr>
                <w:sz w:val="16"/>
              </w:rPr>
              <w:t>-19448,00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right="60"/>
              <w:jc w:val="right"/>
            </w:pPr>
            <w:r>
              <w:rPr>
                <w:sz w:val="16"/>
              </w:rPr>
              <w:t>19448,00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right="60"/>
              <w:jc w:val="right"/>
            </w:pPr>
            <w:r>
              <w:rPr>
                <w:b/>
                <w:sz w:val="16"/>
              </w:rPr>
              <w:t>19448,00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right="60"/>
              <w:jc w:val="right"/>
            </w:pPr>
            <w:r>
              <w:rPr>
                <w:b/>
                <w:sz w:val="16"/>
              </w:rPr>
              <w:t>-19448,00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right="60"/>
              <w:jc w:val="right"/>
            </w:pPr>
            <w:r>
              <w:rPr>
                <w:b/>
                <w:sz w:val="16"/>
              </w:rPr>
              <w:t>-19448,00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right="60"/>
              <w:jc w:val="right"/>
            </w:pPr>
            <w:r>
              <w:rPr>
                <w:b/>
                <w:sz w:val="16"/>
              </w:rPr>
              <w:t>19448,00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right="60"/>
              <w:jc w:val="right"/>
            </w:pPr>
            <w:r>
              <w:rPr>
                <w:b/>
                <w:sz w:val="16"/>
              </w:rPr>
              <w:t>19448,00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44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44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66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5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r>
              <w:rPr>
                <w:sz w:val="24"/>
              </w:rPr>
              <w:t>7.2.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</w:tc>
        <w:tc>
          <w:tcPr>
            <w:tcW w:w="66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Пояснення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33B0" w:rsidRDefault="00913A8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913A8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Бюджетна програма «Надання  пільгових довгострокових кредитів молодим сім’ям та одиноким молодим громадянам на будівництво/реконструкцію/придбання житла» в 2022 році не виконана в зв’язку з відсутністю фінансування. Так як по КПКВК 0216084 та 0218821були в</w:t>
            </w:r>
            <w:r>
              <w:rPr>
                <w:rFonts w:ascii="Arial" w:eastAsia="Arial" w:hAnsi="Arial" w:cs="Arial"/>
                <w:sz w:val="16"/>
              </w:rPr>
              <w:t xml:space="preserve">ідсутні касові видатки, тому і по КПКВК 0218822, як наслідок, відсутні касові видатки, через те, що протягом 2022 року були відсутні позики на придбання житла. Недостатність обсягу фінансування відбулось через  введення воєнного стану, збільшення ринкової </w:t>
            </w:r>
            <w:r>
              <w:rPr>
                <w:rFonts w:ascii="Arial" w:eastAsia="Arial" w:hAnsi="Arial" w:cs="Arial"/>
                <w:sz w:val="16"/>
              </w:rPr>
              <w:t>вартості житла та значного підвищення ДБН.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44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66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44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3B0" w:rsidRDefault="00913A8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r>
              <w:rPr>
                <w:sz w:val="24"/>
              </w:rPr>
              <w:t>9.1. Аналіз показників бюджетної програми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2A33B0">
            <w:pPr>
              <w:ind w:left="60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jc w:val="center"/>
            </w:pP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r>
              <w:rPr>
                <w:sz w:val="24"/>
              </w:rPr>
              <w:t>9.2.  Пояснення щодо причин розбіжностей між фактичними та затвердженими результативними показниками***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sz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33B0" w:rsidRDefault="002A33B0">
            <w:pPr>
              <w:ind w:left="60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2A33B0">
            <w:pPr>
              <w:jc w:val="center"/>
            </w:pP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33B0" w:rsidRDefault="00913A8D">
            <w:pPr>
              <w:ind w:right="60"/>
            </w:pPr>
            <w:r>
              <w:rPr>
                <w:sz w:val="24"/>
              </w:rPr>
              <w:t>9.3. Аналіз стану виконання результативних показників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33B0" w:rsidRDefault="00913A8D">
            <w:r>
              <w:t>Бюджетна програма не виконана. Так як по КПКВК 0216084 та 0218821були відсутні касові видатки, тому і по КПКВК 0218822, як наслідок, відсутні касові видатки, через те, що протягом 2022 року були відсутні позики на придбання житла. Недостатність обсягу фіна</w:t>
            </w:r>
            <w:r>
              <w:t>нсування відбулось через  введення воєнного стану, збільшення ринкової вартості житла та значного підвищення ДБН.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A33B0" w:rsidRDefault="002A33B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3B0" w:rsidRDefault="00913A8D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B0" w:rsidRDefault="00913A8D">
            <w:pPr>
              <w:ind w:left="60"/>
            </w:pPr>
            <w:r>
              <w:t>Бюджетна програма «Надання  пільгових довгострокових кредитів молодим сім’ям та одиноким молодим громадянам на будівництво/реконструкцію/придбання житла» в 2022 році не виконана в зв’язку з відсутністю фінансування. Так як по КПКВК 0216084 та 0218821були в</w:t>
            </w:r>
            <w:r>
              <w:t xml:space="preserve">ідсутні касові видатки, тому і по КПКВК 0218822, як наслідок, відсутні касові видатки, через те, що протягом 2022 року були відсутні позики на придбання житла. Недостатність обсягу фінансування відбулось через  введення воєнного стану, збільшення ринкової </w:t>
            </w:r>
            <w:r>
              <w:t>вартості житла та значного підвищення ДБН.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3B0" w:rsidRDefault="00913A8D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  <w:r>
              <w:rPr>
                <w:sz w:val="16"/>
              </w:rPr>
              <w:br/>
              <w:t>** Зазначаються пояснення щодо причин відхилення обсягів касових видатків (наданих кредитів з бюджету) за нап</w:t>
            </w:r>
            <w:r>
              <w:rPr>
                <w:sz w:val="16"/>
              </w:rPr>
              <w:t>рямом використання бюджетних коштів від обсягів, затверджених у паспорті бюджетної програми.</w:t>
            </w:r>
            <w:r>
              <w:rPr>
                <w:sz w:val="16"/>
              </w:rPr>
              <w:br/>
              <w:t>*** Зазначаються пояснення щодо причин розбіжностей між фактичними та затвердженими результативними показниками.</w:t>
            </w: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2A33B0" w:rsidRDefault="00913A8D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2A33B0" w:rsidRDefault="00913A8D">
            <w:r>
              <w:t>Володимир МОСКАЛЕНКО</w:t>
            </w:r>
          </w:p>
        </w:tc>
        <w:tc>
          <w:tcPr>
            <w:tcW w:w="11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33B0" w:rsidRDefault="00913A8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33B0" w:rsidRDefault="00913A8D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2A33B0" w:rsidRDefault="00913A8D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2A33B0" w:rsidRDefault="00913A8D">
            <w:r>
              <w:t>Наталія КАРБОВСЬКА</w:t>
            </w:r>
          </w:p>
        </w:tc>
        <w:tc>
          <w:tcPr>
            <w:tcW w:w="11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  <w:tr w:rsidR="002A33B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700" w:type="dxa"/>
          </w:tcPr>
          <w:p w:rsidR="002A33B0" w:rsidRDefault="002A33B0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A33B0" w:rsidRDefault="002A33B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33B0" w:rsidRDefault="00913A8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33B0" w:rsidRDefault="00913A8D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2A33B0" w:rsidRDefault="002A33B0">
            <w:pPr>
              <w:pStyle w:val="EMPTYCELLSTYLE"/>
            </w:pPr>
          </w:p>
        </w:tc>
        <w:tc>
          <w:tcPr>
            <w:tcW w:w="400" w:type="dxa"/>
          </w:tcPr>
          <w:p w:rsidR="002A33B0" w:rsidRDefault="002A33B0">
            <w:pPr>
              <w:pStyle w:val="EMPTYCELLSTYLE"/>
            </w:pPr>
          </w:p>
        </w:tc>
      </w:tr>
    </w:tbl>
    <w:p w:rsidR="00913A8D" w:rsidRDefault="00913A8D"/>
    <w:sectPr w:rsidR="00913A8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A33B0"/>
    <w:rsid w:val="002A33B0"/>
    <w:rsid w:val="00783D53"/>
    <w:rsid w:val="0091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2023-03-02T09:26:00Z</dcterms:created>
  <dcterms:modified xsi:type="dcterms:W3CDTF">2023-03-02T09:26:00Z</dcterms:modified>
</cp:coreProperties>
</file>