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440"/>
        <w:gridCol w:w="660"/>
        <w:gridCol w:w="400"/>
      </w:tblGrid>
      <w:tr w:rsidR="002827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256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8278A" w:rsidRDefault="0028278A">
            <w:pPr>
              <w:pStyle w:val="EMPTYCELLSTYLE"/>
            </w:pPr>
          </w:p>
        </w:tc>
        <w:tc>
          <w:tcPr>
            <w:tcW w:w="32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8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02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8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256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8278A" w:rsidRDefault="0028278A">
            <w:pPr>
              <w:pStyle w:val="EMPTYCELLSTYLE"/>
            </w:pPr>
          </w:p>
        </w:tc>
        <w:tc>
          <w:tcPr>
            <w:tcW w:w="32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8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02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8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78A" w:rsidRDefault="00921DD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256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8278A" w:rsidRDefault="0028278A">
            <w:pPr>
              <w:pStyle w:val="EMPTYCELLSTYLE"/>
            </w:pPr>
          </w:p>
        </w:tc>
        <w:tc>
          <w:tcPr>
            <w:tcW w:w="32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8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02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8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78A" w:rsidRDefault="00921DD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01 листопада 2022 року № 359)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278A" w:rsidRDefault="00921DDA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78A" w:rsidRDefault="00921DDA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2022 рік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78A" w:rsidRDefault="00921DD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78A" w:rsidRDefault="00921DDA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278A" w:rsidRDefault="00921DD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278A" w:rsidRDefault="00921DD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28278A" w:rsidRDefault="00921DD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78A" w:rsidRDefault="00921DD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78A" w:rsidRDefault="00921DDA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278A" w:rsidRDefault="00921DD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8278A" w:rsidRDefault="00921DD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28278A" w:rsidRDefault="00921DD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78A" w:rsidRDefault="00921DD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b/>
              </w:rPr>
              <w:t>0215012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t>5012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left="60"/>
              <w:jc w:val="both"/>
            </w:pPr>
            <w:r>
              <w:t>Проведення навчально-тренувальних зборів і змагань з неолімпійських видів спорту</w:t>
            </w: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78A" w:rsidRDefault="00921DDA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78A" w:rsidRDefault="00921DD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78A" w:rsidRDefault="00921DDA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256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8278A" w:rsidRDefault="0028278A">
            <w:pPr>
              <w:pStyle w:val="EMPTYCELLSTYLE"/>
            </w:pPr>
          </w:p>
        </w:tc>
        <w:tc>
          <w:tcPr>
            <w:tcW w:w="32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8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02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8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програмою:</w:t>
            </w: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r>
              <w:rPr>
                <w:sz w:val="24"/>
              </w:rPr>
              <w:t>7.1. Аналіз розділу «Видатки (надані кредити з бюджету) та напрями використання бюджетних коштів за бюджетною програмою»</w:t>
            </w: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256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8278A" w:rsidRDefault="0028278A">
            <w:pPr>
              <w:pStyle w:val="EMPTYCELLSTYLE"/>
            </w:pPr>
          </w:p>
        </w:tc>
        <w:tc>
          <w:tcPr>
            <w:tcW w:w="32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8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02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8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78A" w:rsidRDefault="00921DD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105800,00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105800,00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64041,64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64041,64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-41758,36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b/>
                <w:sz w:val="16"/>
              </w:rPr>
              <w:t>-41758,36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256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8278A" w:rsidRDefault="0028278A">
            <w:pPr>
              <w:pStyle w:val="EMPTYCELLSTYLE"/>
            </w:pPr>
          </w:p>
        </w:tc>
        <w:tc>
          <w:tcPr>
            <w:tcW w:w="32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8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02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8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278A" w:rsidRDefault="0028278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44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44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66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b/>
                <w:sz w:val="16"/>
              </w:rPr>
              <w:t>105800,00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b/>
                <w:sz w:val="16"/>
              </w:rPr>
              <w:t>105800,00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b/>
                <w:sz w:val="16"/>
              </w:rPr>
              <w:t>64041,64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b/>
                <w:sz w:val="16"/>
              </w:rPr>
              <w:t>64041,64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b/>
                <w:sz w:val="16"/>
              </w:rPr>
              <w:t>-41758,36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b/>
                <w:sz w:val="16"/>
              </w:rPr>
              <w:t>-41758,36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44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44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66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5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r>
              <w:rPr>
                <w:sz w:val="24"/>
              </w:rPr>
              <w:t>7.2.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</w:tc>
        <w:tc>
          <w:tcPr>
            <w:tcW w:w="66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Пояснення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Станом на 01.01.2023р. кредиторська заборгованість становить 1,04 тис. грн. - відрядження спортсменів. В зв'язку з тим, що тренери не подали авансові звіти на фінансування 3-х змагань. Кредиторська заборгованість станом на 01.01.2023р. по КЕКВ 2250 – в сум</w:t>
            </w:r>
            <w:r>
              <w:rPr>
                <w:rFonts w:ascii="Arial" w:eastAsia="Arial" w:hAnsi="Arial" w:cs="Arial"/>
                <w:sz w:val="16"/>
              </w:rPr>
              <w:t xml:space="preserve">і 1040,46 грн. виникла за рахунок не оплати згідно ПКМУ №590 від 09.06.2021р. «Про затвердження Порядку виконання повноважень Державною казначейською службою в особливому режимі і умовах воєнного стану». Оскільки такі платежі відносяться до третьої  черги </w:t>
            </w:r>
            <w:r>
              <w:rPr>
                <w:rFonts w:ascii="Arial" w:eastAsia="Arial" w:hAnsi="Arial" w:cs="Arial"/>
                <w:sz w:val="16"/>
              </w:rPr>
              <w:t>платежів.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44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66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44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78A" w:rsidRDefault="00921DD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фізичної культури і спорту Коростенської міської територіальної громади на 2021-2025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105800,00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105800,00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64041,64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64041,64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-41758,36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right="60"/>
              <w:jc w:val="right"/>
            </w:pPr>
            <w:r>
              <w:rPr>
                <w:b/>
                <w:sz w:val="18"/>
              </w:rPr>
              <w:t>-41758,36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r>
              <w:rPr>
                <w:sz w:val="24"/>
              </w:rPr>
              <w:t>9.1. Аналіз показників бюджетної програми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проведених міських змагань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календарний план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обласних змагань, у яких забезпечено участь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календарний план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всеукраїнських та міжнародних змагань, у яких забезпечено участь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календарний план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календарний план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кількість мешканців, які займаються неолімпійськими видами спорту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статистичні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2982,00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2982,00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2982,00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2982,00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спортсменів, яким призначено стипендії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розпорядження міського голови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проведення одного спортивного заходу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7500,00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7500,00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2583,25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2583,25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-4916,75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-4916,75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44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44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66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278A" w:rsidRDefault="0028278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44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проведення одного навчально-тернувального збору з підготовки до змагань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4180,00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4180,00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4180,00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4180,00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призерів обласних, всеукраїнських та міжнародних змагань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статистичні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91,00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91,00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91,00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91,00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 відділу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r>
              <w:rPr>
                <w:sz w:val="24"/>
              </w:rPr>
              <w:t>9.2.  Пояснення щодо причин розбіжностей між фактичними та затвердженими результативними показниками***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sz w:val="16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проведених міських змагань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В зв’язку з отриманням дозволу від Військової адміністрації стало можливим на проведення заходу. 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обласних змагань, у яких забезпечено участь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 зв’язку з і змінами до календарів змагань (Чемпіонату області та України) змагання були проведені раніше запланованих дат.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всеукраїнських та міжнародних змагань, у яких забезпечено участь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 зв’язку з і змінами до календарів змагань (Чемпіонату області та України) змагання були проведені раніше запланованих дат.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кількість мешканців, які займаються неолімпійськими видами спорту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спортсменів, яким призначено стипендії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проведення одного спортивного заходу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 зв'</w:t>
            </w:r>
            <w:r>
              <w:rPr>
                <w:rFonts w:ascii="Arial" w:eastAsia="Arial" w:hAnsi="Arial" w:cs="Arial"/>
                <w:sz w:val="14"/>
              </w:rPr>
              <w:t>язку з тим, що тренери не подали авансові звіти по відрядженнях на фінансування 3-х змагань .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проведення одного навчально-тернувального збору з підготовки до змагань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28278A">
            <w:pPr>
              <w:jc w:val="center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призерів обласних, всеукраїнських та міжнародних змагань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78A" w:rsidRDefault="00921DD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pPr>
              <w:ind w:right="60"/>
            </w:pPr>
            <w:r>
              <w:rPr>
                <w:sz w:val="24"/>
              </w:rPr>
              <w:t>9.3. Аналіз стану виконання результативних показників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278A" w:rsidRDefault="00921DDA">
            <w:r>
              <w:t>Виконання бюджетної програми здійснювалося із забезпеченням цільового, ефективного та раціонального використання бюджетних коштів.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44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78A" w:rsidRDefault="00921DDA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78A" w:rsidRDefault="00921DDA">
            <w:pPr>
              <w:ind w:left="60"/>
            </w:pPr>
            <w:r>
              <w:t xml:space="preserve">Бюджетна програма «Проведення навчально-тренувальних зборів і змагань з  не олімпійських видів спорту» в 2022 році виконана не в повному обсязі за рахунок не оплати згідно Постанови КМУ №590 від 09.06.2021р. "Про затвердження Порядку виконання повноважень </w:t>
            </w:r>
            <w:r>
              <w:t>Державною казначейською службою в особливому режимі в умовах воєнного стану".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44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8278A" w:rsidRDefault="0028278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78A" w:rsidRDefault="00921DDA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** 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програми.</w:t>
            </w:r>
            <w:r>
              <w:rPr>
                <w:sz w:val="16"/>
              </w:rPr>
              <w:br/>
              <w:t>*** Зазначаються пояснення щодо причин розбіжностей мі</w:t>
            </w:r>
            <w:r>
              <w:rPr>
                <w:sz w:val="16"/>
              </w:rPr>
              <w:t>ж фактичними та затвердженими результативними показниками.</w:t>
            </w: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28278A" w:rsidRDefault="00921DDA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28278A" w:rsidRDefault="00921DDA">
            <w:r>
              <w:t>Володимир МОСКАЛЕНКО</w:t>
            </w: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78A" w:rsidRDefault="00921DD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78A" w:rsidRDefault="00921DDA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28278A" w:rsidRDefault="00921DDA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28278A" w:rsidRDefault="00921DDA">
            <w:r>
              <w:t>Наталія КАРБОВСЬКА</w:t>
            </w: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  <w:tr w:rsidR="0028278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700" w:type="dxa"/>
          </w:tcPr>
          <w:p w:rsidR="0028278A" w:rsidRDefault="0028278A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28278A" w:rsidRDefault="0028278A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78A" w:rsidRDefault="00921DD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78A" w:rsidRDefault="00921DDA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28278A" w:rsidRDefault="0028278A">
            <w:pPr>
              <w:pStyle w:val="EMPTYCELLSTYLE"/>
            </w:pPr>
          </w:p>
        </w:tc>
        <w:tc>
          <w:tcPr>
            <w:tcW w:w="400" w:type="dxa"/>
          </w:tcPr>
          <w:p w:rsidR="0028278A" w:rsidRDefault="0028278A">
            <w:pPr>
              <w:pStyle w:val="EMPTYCELLSTYLE"/>
            </w:pPr>
          </w:p>
        </w:tc>
      </w:tr>
    </w:tbl>
    <w:p w:rsidR="00921DDA" w:rsidRDefault="00921DDA"/>
    <w:sectPr w:rsidR="00921DD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28278A"/>
    <w:rsid w:val="0028278A"/>
    <w:rsid w:val="00921DDA"/>
    <w:rsid w:val="00A6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2023-03-01T15:06:00Z</dcterms:created>
  <dcterms:modified xsi:type="dcterms:W3CDTF">2023-03-01T15:06:00Z</dcterms:modified>
</cp:coreProperties>
</file>