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B24D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24D36" w:rsidRDefault="00B24D36">
            <w:pPr>
              <w:pStyle w:val="EMPTYCELLSTYLE"/>
            </w:pPr>
          </w:p>
        </w:tc>
        <w:tc>
          <w:tcPr>
            <w:tcW w:w="3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0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24D36" w:rsidRDefault="00B24D36">
            <w:pPr>
              <w:pStyle w:val="EMPTYCELLSTYLE"/>
            </w:pPr>
          </w:p>
        </w:tc>
        <w:tc>
          <w:tcPr>
            <w:tcW w:w="3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0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24D36" w:rsidRDefault="00B24D36">
            <w:pPr>
              <w:pStyle w:val="EMPTYCELLSTYLE"/>
            </w:pPr>
          </w:p>
        </w:tc>
        <w:tc>
          <w:tcPr>
            <w:tcW w:w="3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0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4D36" w:rsidRDefault="00D74A29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t>0150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24D36" w:rsidRDefault="00B24D36">
            <w:pPr>
              <w:pStyle w:val="EMPTYCELLSTYLE"/>
            </w:pPr>
          </w:p>
        </w:tc>
        <w:tc>
          <w:tcPr>
            <w:tcW w:w="3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0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24D36" w:rsidRDefault="00B24D36">
            <w:pPr>
              <w:pStyle w:val="EMPTYCELLSTYLE"/>
            </w:pPr>
          </w:p>
        </w:tc>
        <w:tc>
          <w:tcPr>
            <w:tcW w:w="3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0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36239600,00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36239600,00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35066014,68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35066014,68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-1173585,32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-1173585,32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5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24D36" w:rsidRDefault="00B24D36">
            <w:pPr>
              <w:pStyle w:val="EMPTYCELLSTYLE"/>
            </w:pPr>
          </w:p>
        </w:tc>
        <w:tc>
          <w:tcPr>
            <w:tcW w:w="3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02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8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4D36" w:rsidRDefault="00B24D3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44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4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6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36239600,00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36239600,00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35066014,68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35066014,68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-1173585,32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right="60"/>
              <w:jc w:val="right"/>
            </w:pPr>
            <w:r>
              <w:rPr>
                <w:b/>
                <w:sz w:val="16"/>
              </w:rPr>
              <w:t>-1173585,32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44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4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6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затверджених показників від фактичних показників пояснюється обмеженням проведення видатків, згідно Постанови КМУ від 09.06.2021 р. №590 «Про затвердження Порядку виконання повноважень Державною казначейською службою в особливому режимі і умовах</w:t>
            </w:r>
            <w:r>
              <w:rPr>
                <w:rFonts w:ascii="Arial" w:eastAsia="Arial" w:hAnsi="Arial" w:cs="Arial"/>
                <w:sz w:val="16"/>
              </w:rPr>
              <w:t xml:space="preserve"> воєнного стану» зі змінами. Військова агресія рф проти України суттєво вплинула на виконання результативних показників програми.  У зв'язку з введенням воєнного стану в Україні кількість отриманих листів, звернень, заяв та скарг становить  88,6 відсотка д</w:t>
            </w:r>
            <w:r>
              <w:rPr>
                <w:rFonts w:ascii="Arial" w:eastAsia="Arial" w:hAnsi="Arial" w:cs="Arial"/>
                <w:sz w:val="16"/>
              </w:rPr>
              <w:t xml:space="preserve">о запланованої кількості, більшість адміністративних процесів було призупинено. Видатки на одну штатну одиницю становлять 302,3 тис. грн. на рік. (96,8 відсотка від запланованої суми) відхилення виникло внаслідок обмежень введених ПКМУ №590 від 09.06.2021 </w:t>
            </w:r>
            <w:r>
              <w:rPr>
                <w:rFonts w:ascii="Arial" w:eastAsia="Arial" w:hAnsi="Arial" w:cs="Arial"/>
                <w:sz w:val="16"/>
              </w:rPr>
              <w:t>р. «Про затвердження Порядку виконання повноважень Державною казначейською службою в особливому режимі в умовах воєнного стану» зі змінами та відпусток без збереження з/п працівників на час введеного воєнного стану.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8. Видатки (надані кредити з бюджету)</w:t>
            </w:r>
            <w:r>
              <w:rPr>
                <w:sz w:val="24"/>
              </w:rPr>
              <w:t xml:space="preserve">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66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44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одиниць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прийнятих нормативно-правових актів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реєстрації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1239,00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1239,00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121,00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121,00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отриманих листів, звернень, заяв, скарг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реєстрації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22458,00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22458,00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-2892,00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-2892,00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218,00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218,00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193,00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193,00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-25,00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-25,00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утримання однієї штатної одиниці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312410,34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312410,34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302293,23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302293,23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-10117,11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  <w:jc w:val="right"/>
            </w:pPr>
            <w:r>
              <w:rPr>
                <w:sz w:val="16"/>
              </w:rPr>
              <w:t>-10117,11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4D36" w:rsidRDefault="00B24D3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одиниць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4740" w:type="dxa"/>
            <w:gridSpan w:val="6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прийнятих нормативно-правових актів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 рік було прийнято та затверджено більше нормативно-правових актів ніж у попередньому році , у зв'язку з запровадженням воєнного стану.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отриманих листів, звернень, заяв, скарг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у сторону зменшення відбулось за рахунок того, що в результаті воєнної агресії  рф відбулось зменшення звернень, заяв, листів від громадян, так як в той час коли проводились воєнні дії на території України частина населення покинула місця прожив</w:t>
            </w:r>
            <w:r>
              <w:rPr>
                <w:rFonts w:ascii="Arial" w:eastAsia="Arial" w:hAnsi="Arial" w:cs="Arial"/>
                <w:sz w:val="14"/>
              </w:rPr>
              <w:t>ання та обмеження щодо розпорядження землею та вирішення земельних питань під час воєнного стану.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B24D36">
            <w:pPr>
              <w:jc w:val="center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показнику ефективності прямо пов'</w:t>
            </w:r>
            <w:r>
              <w:rPr>
                <w:rFonts w:ascii="Arial" w:eastAsia="Arial" w:hAnsi="Arial" w:cs="Arial"/>
                <w:sz w:val="14"/>
              </w:rPr>
              <w:t>язано з показником продукту.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показнику ефективності прямо пов'язано з показником продукту.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утримання однієї штатної одиниці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D36" w:rsidRDefault="00D74A2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показників в сторону зменшення відбулось за рахунок того, що деякий час була вакансія робітника по благоустрою та за рахунок лікарняних.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4D36" w:rsidRDefault="00D74A29">
            <w:r>
              <w:t>Виконання бюджетної прорами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D36" w:rsidRDefault="00D74A29">
            <w:pPr>
              <w:ind w:left="60"/>
            </w:pPr>
            <w:r>
              <w:t xml:space="preserve">Бюджетна програма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у 2022 році виконана не в повному обсязі </w:t>
            </w:r>
            <w:r>
              <w:t>внаслідок не оплати згідно з Постановою КМУ №590 від 09.06.2021р. "Про затвердження Порядку виконання повноважень Державною казначейською службою в особливому режимі в умовах воєнного стану". Для максимально можливого забезпечення виконання наданих законод</w:t>
            </w:r>
            <w:r>
              <w:t>авством повноважень у реаліях, які склалися у 2022 році виконавчий комітет Коростенської міської ради у режимі жорсткої економії керувався в роботі ПКМУ №590 від 09.06.2021р. "Про затвердження Порядку виконання повноважень Державною казначейською службою в</w:t>
            </w:r>
            <w:r>
              <w:t xml:space="preserve"> особливому режимі в умовах воєнного стану" зі змінами та розпорядженням міського голови від 06.06.2022 №133 "Про економію та раціональне використання бюджетних коштів і  посилення фінансово-бюджетної дисципліни у 2022 році на період воєнного стану в Украї</w:t>
            </w:r>
            <w:r>
              <w:t>ні". На виконання повноважень з бюджету громади виділено 36239,6 тис. грн., касові видатки становлять 35066,15 тис. грн., що складає 96,8 відсотка від запланованої суми, з них: 85,71 відсотка становлять видатки на оплату праці з нарахуванням та інші видатк</w:t>
            </w:r>
            <w:r>
              <w:t>и становлять 14,29 відсотків, що забезпечило потребу для якісного функціонування організаційної структури виконавчої влади.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  <w:t>** Зазначаються пояснення що</w:t>
            </w:r>
            <w:r>
              <w:rPr>
                <w:sz w:val="16"/>
              </w:rPr>
              <w:t>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</w:t>
            </w:r>
            <w:r>
              <w:rPr>
                <w:sz w:val="16"/>
              </w:rPr>
              <w:t>и результативними показниками.</w:t>
            </w: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B24D36" w:rsidRDefault="00D74A2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B24D36" w:rsidRDefault="00D74A29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B24D36" w:rsidRDefault="00D74A29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B24D36" w:rsidRDefault="00D74A29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  <w:tr w:rsidR="00B24D3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7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</w:tcPr>
          <w:p w:rsidR="00B24D36" w:rsidRDefault="00B24D36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B24D36" w:rsidRDefault="00B24D3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D36" w:rsidRDefault="00D74A29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B24D36" w:rsidRDefault="00B24D36">
            <w:pPr>
              <w:pStyle w:val="EMPTYCELLSTYLE"/>
            </w:pPr>
          </w:p>
        </w:tc>
        <w:tc>
          <w:tcPr>
            <w:tcW w:w="400" w:type="dxa"/>
          </w:tcPr>
          <w:p w:rsidR="00B24D36" w:rsidRDefault="00B24D36">
            <w:pPr>
              <w:pStyle w:val="EMPTYCELLSTYLE"/>
            </w:pPr>
          </w:p>
        </w:tc>
      </w:tr>
    </w:tbl>
    <w:p w:rsidR="00D74A29" w:rsidRDefault="00D74A29"/>
    <w:sectPr w:rsidR="00D74A2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24D36"/>
    <w:rsid w:val="00B24D36"/>
    <w:rsid w:val="00D74A29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2023-03-01T15:04:00Z</dcterms:created>
  <dcterms:modified xsi:type="dcterms:W3CDTF">2023-03-01T15:04:00Z</dcterms:modified>
</cp:coreProperties>
</file>