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160"/>
        <w:gridCol w:w="2340"/>
        <w:gridCol w:w="1760"/>
        <w:gridCol w:w="3020"/>
        <w:gridCol w:w="20"/>
        <w:gridCol w:w="3480"/>
        <w:gridCol w:w="240"/>
        <w:gridCol w:w="238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2023 – 2025 РОКИ індивідуальний ( Форма 2023-2)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Виконавчий комітет Коростенської міської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04053507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Виконавчий комітет Коростенської міської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04053507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0217540</w:t>
            </w: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7540</w:t>
            </w: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0460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Реалізація заходів, спрямованих на підвищення доступності широкосмугового доступу до Інтернету в сільській місцевості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0656300000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2023 - 2025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Реалізація заходів, спрямованих на підвищення доступності широкосмугового доступу до Інтернету в сільській місцевості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Реалізація заходів, спрямованих на підвищення доступності широкосмугового доступу до Інтернету в сільській місцевості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- Конституція України від 28.06.1996р. №254к/96-ВР із змінами;</w:t>
              <w:br/>
              <w:t xml:space="preserve">- Бюджетний кодекс України від 08.07.2010р. №2456-VI із змінами;</w:t>
              <w:br/>
              <w:t xml:space="preserve">- Закон України від 02.12.2021р. №1928-ІХ "Про Державний бюджет України на 2022 рік" із змінами;</w:t>
              <w:br/>
              <w:t xml:space="preserve">- Закон України від 21.05.1997р. №280/97-ВР "Про місцеве самоврядування в Україні" із змінами;</w:t>
              <w:br/>
              <w:t xml:space="preserve"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  <w:br/>
              <w:t xml:space="preserve">- Постанова Кабінету Міністрів України від 28.04.2021р. №453 "Питання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місцевості"  із змінами;</w:t>
              <w:br/>
              <w:t xml:space="preserve">- Розпорядження Кабінету Міністрів України від 09.06.2021 №622-р "Про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місцевості" із змінами;</w:t>
              <w:br/>
              <w:t xml:space="preserve">- Рішення дванадцятої сесії VIIІ скликання Коростенської міської ради від 23.12.2021р. №695 "Про бюджет Коростенської міської територіальної громади на 2022 рік" із змінами;</w:t>
              <w:br/>
              <w:t xml:space="preserve">- Листи Міністерства фінансів України №05110-14-6/17891 від 15.08.2022р. та №05110-14-6/20774 від 15.09.2022р.;</w:t>
              <w:br/>
              <w:t xml:space="preserve">- Лист фінансового управління виконавчого комітету Коростенської міської ради № 126/21-21 від 30.09.2022р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80"/>
        </w:trPr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820"/>
        <w:gridCol w:w="180"/>
        <w:gridCol w:w="920"/>
        <w:gridCol w:w="80"/>
        <w:gridCol w:w="820"/>
        <w:gridCol w:w="180"/>
        <w:gridCol w:w="20"/>
        <w:gridCol w:w="900"/>
        <w:gridCol w:w="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2021 - 2023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2021 рік 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2024-2025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2021 - 2023 роках: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2021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2021 - 2023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2021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2024 - 2025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2024 - 2025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2021 - 2023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2021 рік(звіт)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Реалізація заходів, спрямованих на підвищення доступності широкосмугового доступу до Інтернету в сільській місцевості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139 001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2024 - 2025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560"/>
        <w:gridCol w:w="3420"/>
        <w:gridCol w:w="1000"/>
        <w:gridCol w:w="80"/>
        <w:gridCol w:w="20"/>
        <w:gridCol w:w="900"/>
        <w:gridCol w:w="100"/>
        <w:gridCol w:w="820"/>
        <w:gridCol w:w="80"/>
        <w:gridCol w:w="100"/>
        <w:gridCol w:w="820"/>
        <w:gridCol w:w="80"/>
        <w:gridCol w:w="100"/>
        <w:gridCol w:w="820"/>
        <w:gridCol w:w="80"/>
        <w:gridCol w:w="100"/>
        <w:gridCol w:w="820"/>
        <w:gridCol w:w="80"/>
        <w:gridCol w:w="100"/>
        <w:gridCol w:w="820"/>
        <w:gridCol w:w="80"/>
        <w:gridCol w:w="100"/>
        <w:gridCol w:w="820"/>
        <w:gridCol w:w="80"/>
        <w:gridCol w:w="100"/>
        <w:gridCol w:w="820"/>
        <w:gridCol w:w="180"/>
        <w:gridCol w:w="820"/>
        <w:gridCol w:w="180"/>
        <w:gridCol w:w="820"/>
        <w:gridCol w:w="180"/>
        <w:gridCol w:w="82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2021 - 2023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2021 рік(звіт)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витрат для підключення закладів соціальної інфраструктури до широкосмугового доступу до Інтернету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 по кошторису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1977000,00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1977000,00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139001,00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139001,00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наданих послуг з підключення до широкосмугового доступу до Інтернету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договори, акти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середня вартість наданих з підключення до широкосмугового доступу до Інтернету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395400,00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395400,00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139001,00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139001,00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наданих послуг з підключення до широкосмугового доступу до Інтернету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2024-2025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рік(прогноз)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2021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(проект)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2560"/>
        <w:gridCol w:w="160"/>
        <w:gridCol w:w="900"/>
        <w:gridCol w:w="860"/>
        <w:gridCol w:w="40"/>
        <w:gridCol w:w="720"/>
        <w:gridCol w:w="180"/>
        <w:gridCol w:w="60"/>
        <w:gridCol w:w="840"/>
        <w:gridCol w:w="20"/>
        <w:gridCol w:w="140"/>
        <w:gridCol w:w="740"/>
        <w:gridCol w:w="220"/>
        <w:gridCol w:w="40"/>
        <w:gridCol w:w="640"/>
        <w:gridCol w:w="360"/>
        <w:gridCol w:w="60"/>
        <w:gridCol w:w="480"/>
        <w:gridCol w:w="460"/>
        <w:gridCol w:w="160"/>
        <w:gridCol w:w="280"/>
        <w:gridCol w:w="560"/>
        <w:gridCol w:w="260"/>
        <w:gridCol w:w="80"/>
        <w:gridCol w:w="660"/>
        <w:gridCol w:w="240"/>
        <w:gridCol w:w="120"/>
        <w:gridCol w:w="640"/>
        <w:gridCol w:w="140"/>
        <w:gridCol w:w="320"/>
        <w:gridCol w:w="540"/>
        <w:gridCol w:w="40"/>
        <w:gridCol w:w="520"/>
        <w:gridCol w:w="380"/>
        <w:gridCol w:w="60"/>
        <w:gridCol w:w="660"/>
        <w:gridCol w:w="180"/>
        <w:gridCol w:w="40"/>
        <w:gridCol w:w="4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2021 рік (звіт)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2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2021 - 2023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2021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2024-2025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1480"/>
        <w:gridCol w:w="1060"/>
        <w:gridCol w:w="300"/>
        <w:gridCol w:w="800"/>
        <w:gridCol w:w="400"/>
        <w:gridCol w:w="700"/>
        <w:gridCol w:w="500"/>
        <w:gridCol w:w="500"/>
        <w:gridCol w:w="700"/>
        <w:gridCol w:w="400"/>
        <w:gridCol w:w="800"/>
        <w:gridCol w:w="200"/>
        <w:gridCol w:w="1000"/>
        <w:gridCol w:w="100"/>
        <w:gridCol w:w="1000"/>
        <w:gridCol w:w="100"/>
        <w:gridCol w:w="1000"/>
        <w:gridCol w:w="200"/>
        <w:gridCol w:w="800"/>
        <w:gridCol w:w="400"/>
        <w:gridCol w:w="70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2021 - 2023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2021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2021 році, очікувані результати у 2022 році, обґрунтування необхідності передбачення витрат на 2023 - 2025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У 2022 році затверджено кошторисних асигнувань - 139001,00 грн. Всі завдання виконані. Заборгованість відсутня.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2021 і 2023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2021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2 116 001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2 116 001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2022-2023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139 001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139 001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3900"/>
        <w:gridCol w:w="1400"/>
        <w:gridCol w:w="1400"/>
        <w:gridCol w:w="640"/>
        <w:gridCol w:w="760"/>
        <w:gridCol w:w="640"/>
        <w:gridCol w:w="760"/>
        <w:gridCol w:w="1400"/>
        <w:gridCol w:w="2000"/>
        <w:gridCol w:w="640"/>
        <w:gridCol w:w="13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2021-2022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2 116 001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2 116 001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1 977 000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2023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На 2023 рік кредиторська заборгованість не планується. Дебіторська заборгованість відсутня.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2023 рік та на 2024 - 2025 роки за рахунок надходжень до спеціального фонду, аналіз результатів, досягнутих внаслідок використання коштів спеціального фонду бюджету у 2022 році, та очікувані результати у 2023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Заступник міського голови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Олександр ЯСИНЕЦЬКИЙ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Наталія КАРБОВСЬКА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