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0217350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7350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0443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Розроблення схем планування та забудови територій (містобудівної документації)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розвитку інфраструктури території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Здійснення розробки проектної та містобудівної документації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Закон України від 17.02.2011р. №3038/VI "Про регулювання містобудівної діяльності" із змінами;</w:t>
              <w:br/>
              <w:t xml:space="preserve">- Закон України від 20.05.1999р. №687-XIV "Про архітектурну діяльність" із змінами;</w:t>
              <w:br/>
              <w:t xml:space="preserve">- Постанова Кабінету Міністрів України від 26.07.2001р. №878 "Про затвердження Списку історичних населенних міст України"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Наказ Міністерства регіонального розвитку, будівництва та житлово-комунального господарства України від 02.06.2011р. №64 "Про затвердження порядку розроблення історико-архітектурного опорного плану населеного пункту"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тридцять п'ятої сесії VII скликання Коростенської міської ради від 28.11.2019р. №1677 "Програма із створення, розроблення містобудівної та проектної документації територій Коростенської міської територіальної громади на період 2020-2022 роки" із змінами.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80"/>
        </w:trPr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20"/>
        <w:gridCol w:w="90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24060300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надходження  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4 100 000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4 100 000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4 100 000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4 100 000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2281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4 100 000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4 100 000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4 100 000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4 100 000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Здійснення розробки проектної та містобудівної документації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195 688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195 688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195 688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2 100 000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2 100 000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4 100 000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4 100 000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4 100 000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195 688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195 688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195 688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4 100 000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4 100 000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4 100 000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3420"/>
        <w:gridCol w:w="1000"/>
        <w:gridCol w:w="80"/>
        <w:gridCol w:w="92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1000"/>
        <w:gridCol w:w="1000"/>
        <w:gridCol w:w="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обсяг видатків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кошторис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2100000,00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2100000,00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4100000,00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4100000,00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робочих місць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штатний розпис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обсяг видатків передбачених бюджетом на розробку детальних планів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кошторис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198000,00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198000,00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обсяг видатків на створення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кошторис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335206,00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335206,00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детальних планів територій міста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шт.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графічні матеріали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послуги з виконання топографічно-геодезичних робіт по зйомці місцевості в масштабі 1:10000 Коростенської міської територіальної громади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графічні матеріали, договір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послуги з виконання топографічно-гедезичних робіт по зйомці населених пунктів в масштабі 1:2000 Коростенської міської територіальної громади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графічні матеріали, договір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розроблення детального плану території міста Коростеня, Житомирської обл.- по вулиці Маяковського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шт.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графічні матеріали, договір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сканування, масштабування та калібрування містобудівної документації з їх просторовою прив'язкою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графічні матеріали, договір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розроблення детального плану земельної ділянки орієнтовною площею 65,0000 га для розміщення, будівництва, експлуатації та обслуговування будівель закладів комунального обслуговування за межами с. Клочеве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шт.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графічні матеріали, договір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договорів на створення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шт.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графічні матеріали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560"/>
        <w:gridCol w:w="3420"/>
        <w:gridCol w:w="1080"/>
        <w:gridCol w:w="20"/>
        <w:gridCol w:w="100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вартість 1 га розробленої території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середня вартість детальних планів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97,80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97,80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198000,00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198000,00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вартість 1 кв. км. розробленої території (76500,6300 га)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тис.грн.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вартість 1 кв. км. розробленої території (64036,3400 га)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тис.грн.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вартість 1 кв. км. розробленої території (65,0000 га)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тис.грн.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7,69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7,69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видатки на 1 договір про виконання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335206,00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335206,00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відсоток виконання відповідно кошторису на виконання топографо-геодезичних робіт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відсоток виконання відповідно кошторису на виконання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2560"/>
        <w:gridCol w:w="160"/>
        <w:gridCol w:w="900"/>
        <w:gridCol w:w="900"/>
        <w:gridCol w:w="720"/>
        <w:gridCol w:w="180"/>
        <w:gridCol w:w="900"/>
        <w:gridCol w:w="20"/>
        <w:gridCol w:w="880"/>
        <w:gridCol w:w="220"/>
        <w:gridCol w:w="680"/>
        <w:gridCol w:w="420"/>
        <w:gridCol w:w="480"/>
        <w:gridCol w:w="620"/>
        <w:gridCol w:w="280"/>
        <w:gridCol w:w="820"/>
        <w:gridCol w:w="80"/>
        <w:gridCol w:w="900"/>
        <w:gridCol w:w="120"/>
        <w:gridCol w:w="780"/>
        <w:gridCol w:w="320"/>
        <w:gridCol w:w="580"/>
        <w:gridCol w:w="520"/>
        <w:gridCol w:w="380"/>
        <w:gridCol w:w="720"/>
        <w:gridCol w:w="180"/>
        <w:gridCol w:w="40"/>
        <w:gridCol w:w="4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№1677 від 28.11.2019р.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2 100 000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із створення, розроблення містобудівної та проектної документації територій  Коростенської міської територіальної громади на період 2023-2025рр.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4 100 000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2 100 000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4 100 000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1480"/>
        <w:gridCol w:w="1060"/>
        <w:gridCol w:w="300"/>
        <w:gridCol w:w="800"/>
        <w:gridCol w:w="400"/>
        <w:gridCol w:w="700"/>
        <w:gridCol w:w="500"/>
        <w:gridCol w:w="500"/>
        <w:gridCol w:w="700"/>
        <w:gridCol w:w="400"/>
        <w:gridCol w:w="800"/>
        <w:gridCol w:w="200"/>
        <w:gridCol w:w="1000"/>
        <w:gridCol w:w="100"/>
        <w:gridCol w:w="1000"/>
        <w:gridCol w:w="100"/>
        <w:gridCol w:w="1000"/>
        <w:gridCol w:w="200"/>
        <w:gridCol w:w="800"/>
        <w:gridCol w:w="400"/>
        <w:gridCol w:w="700"/>
        <w:gridCol w:w="500"/>
        <w:gridCol w:w="500"/>
        <w:gridCol w:w="720"/>
        <w:gridCol w:w="40"/>
        <w:gridCol w:w="40"/>
        <w:gridCol w:w="360"/>
      </w:tblGrid>
      <w:tr>
        <w:trPr>
          <w:trHeight w:hRule="exact" w:val="56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2281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196 000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195 688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196 000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195 688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2281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2 100 000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4 100 000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2 100 000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4 100 000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4 100 000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3900"/>
        <w:gridCol w:w="1400"/>
        <w:gridCol w:w="1400"/>
        <w:gridCol w:w="640"/>
        <w:gridCol w:w="760"/>
        <w:gridCol w:w="640"/>
        <w:gridCol w:w="760"/>
        <w:gridCol w:w="1400"/>
        <w:gridCol w:w="2000"/>
        <w:gridCol w:w="640"/>
        <w:gridCol w:w="13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2281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196 000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196 000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195 688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2023 рік кредиторська заборгованість не планується.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