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0215012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5012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неолімпійських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178 000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310 000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103 636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103 636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114 000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53 357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53 357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86 000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342 993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міських змагань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обласних змагань, у яких забезпечено участь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всеукраїнських та міжнародних змагань, у яких забезпечено участь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2793,00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2793,00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2982,00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2793,00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спортсменів, яким призначено стипендії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розпорядження міського голови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турів змагань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команд-учасниць чемпіонату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5017,16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5017,16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7790,70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7790,70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6672,33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6672,33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навчально-тернувального збору з підготовки до змагань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туру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625,00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нагородження команди-переможниці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 відділу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турів змагань, відповідно до запланованої кількості на початку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№1974 від 08.10.2020р.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342 993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342 993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353 000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353 000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-353000,00 грн. Всі завдання виконані. Заборгованість відсутня. В 2023 році передбачаються видатки в сумі - 525000,00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103 636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103 636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53 357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53 357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178 000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114 000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353 000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103 636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53 357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342 993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