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B14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1417" w:rsidRDefault="00AB14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1417" w:rsidRDefault="00AB14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1417" w:rsidRDefault="00AB14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t>Наказ / розпорядчий документ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ind w:left="60"/>
              <w:jc w:val="center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r>
              <w:t>26.01.2022 р. № 1п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32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1417" w:rsidRDefault="00AB14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8821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1417" w:rsidRDefault="003608F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19168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19168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</w:t>
            </w:r>
            <w:r>
              <w:t>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 xml:space="preserve">- Рішення дванадцятої сесії </w:t>
            </w:r>
            <w:r>
              <w:t>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сорок другої сесії VII скликання Коростенської міської ради від 08.10.2020р. №1979 "Про затвердження "Програми</w:t>
            </w:r>
            <w:r>
              <w:t xml:space="preserve"> забезпечення молодих сімей та одиноких молодих громадян житлом в м. Коростень на 2021-2024 роки".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1417" w:rsidRDefault="00AB141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5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Забезпечення молодих сімей та одиноких молодих громадян житлом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t>Забезпечення молодих сімей та одиноких молодих громадян житлом в м. Коростені на 2017-2020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5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Надання інших внутрішніх кредитів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19 168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19 168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5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19 168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rPr>
                <w:b/>
              </w:rPr>
              <w:t>19 168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перелік осіб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 xml:space="preserve">видатки міського бюджету для надання пільгового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19 168,00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5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1417" w:rsidRDefault="00AB141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довготермінового кредиту молодим сім'ям та одиноким молодим громадянам</w:t>
            </w: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1417" w:rsidRDefault="003608F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AB141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питома вага молодих сімей та одиноких громадян, які отримають пільговий довготерміновий кредит до загальної кількості сімей, ща перебувають на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t>Олександр ЯСИНЕЦЬКИЙ</w:t>
            </w: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417" w:rsidRDefault="003608F7">
            <w:r>
              <w:t>Людмила БАРДОВСЬКА</w:t>
            </w: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1417" w:rsidRDefault="003608F7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  <w:tr w:rsidR="00AB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417" w:rsidRDefault="003608F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1800" w:type="dxa"/>
          </w:tcPr>
          <w:p w:rsidR="00AB1417" w:rsidRDefault="00AB1417">
            <w:pPr>
              <w:pStyle w:val="EMPTYCELLSTYLE"/>
            </w:pPr>
          </w:p>
        </w:tc>
        <w:tc>
          <w:tcPr>
            <w:tcW w:w="400" w:type="dxa"/>
          </w:tcPr>
          <w:p w:rsidR="00AB1417" w:rsidRDefault="00AB1417">
            <w:pPr>
              <w:pStyle w:val="EMPTYCELLSTYLE"/>
            </w:pPr>
          </w:p>
        </w:tc>
      </w:tr>
    </w:tbl>
    <w:p w:rsidR="003608F7" w:rsidRDefault="003608F7"/>
    <w:sectPr w:rsidR="003608F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B1417"/>
    <w:rsid w:val="003608F7"/>
    <w:rsid w:val="00AB1417"/>
    <w:rsid w:val="00E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2022-01-28T07:05:00Z</dcterms:created>
  <dcterms:modified xsi:type="dcterms:W3CDTF">2022-01-28T07:05:00Z</dcterms:modified>
</cp:coreProperties>
</file>