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C554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C554EA" w:rsidRDefault="00C554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C554EA" w:rsidRDefault="00C554E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54EA" w:rsidRDefault="00006BA6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54EA" w:rsidRDefault="00006BA6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554EA" w:rsidRDefault="00006BA6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554EA" w:rsidRDefault="00006BA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t>0215061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t>5061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both"/>
            </w:pPr>
            <w:r>
              <w:t>Забезпечення діяльності місцевих центрів фізичного здоров'</w:t>
            </w:r>
            <w:r>
              <w:t>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400"/>
            </w:pPr>
            <w:r>
              <w:rPr>
                <w:b/>
              </w:rPr>
              <w:t>2)  завдання бюджетної прогр</w:t>
            </w:r>
            <w:r>
              <w:rPr>
                <w:b/>
              </w:rPr>
              <w:t>ами;</w:t>
            </w: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C554EA" w:rsidRDefault="00006BA6">
            <w:pPr>
              <w:ind w:left="50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44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 xml:space="preserve">- Закон України від 15.12.2020р. №4000 "Про Державний бюджет України на 2021 рік" </w:t>
            </w:r>
            <w:r>
              <w:t>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 xml:space="preserve">- Закон України від 24.03.1995р. №108/95-ВР "Про оплату праці" </w:t>
            </w:r>
            <w:r>
              <w:t>зі змінами;</w:t>
            </w:r>
            <w:r>
              <w:br/>
              <w:t xml:space="preserve">- Постанова Кабінету Міністрів України від 30.08.2002р. №1298 "Про оплату праці працівників на основі єдиної тарифної сітки розрядіві коефіцієнтів з оплати праці працівників установ, закладів та організацій окремих галузей бюджетної сфери"  із </w:t>
            </w:r>
            <w:r>
              <w:t>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</w:t>
            </w:r>
            <w:r>
              <w:t>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</w:t>
            </w:r>
            <w:r>
              <w:t>ькій міській територіальній громаді на 2021-2025 роки"  із змінами.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2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2 632 687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2 632 687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2 970 400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2 970 400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3 229 100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3 229 100</w:t>
            </w: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201110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 позик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3 504 174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3 504 174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3 730 135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3 730 135</w:t>
            </w: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2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2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1 503 146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1 503 146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1 756 900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1 756 900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1 920 000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1 920 000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304 742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304 742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383 100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383 100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422 400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422 400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286 541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241 000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241 000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140 900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140 900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256 227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256 227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280 500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120 600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120 600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229 400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229 400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233 800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233 800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508 700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водопостачання та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6 900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8 200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2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8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водовідведення</w:t>
            </w:r>
          </w:p>
        </w:tc>
        <w:tc>
          <w:tcPr>
            <w:tcW w:w="10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43 700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43 700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58 400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58 400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99 000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7 298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7 298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5 000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273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273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5 900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2 638 587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C554E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2 102 400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2 102 400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2 245 363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2 245 363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462 528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462 528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493 979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493 979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148 368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148 368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155 786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155 786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126 992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126 992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133 342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133 342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3 686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3 686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3 870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3 870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540 239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540 239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571 033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571 033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9 558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9 558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10 103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10 103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105 138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105 138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111 131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111 131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5 265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5 265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5 528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5 528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sz w:val="16"/>
              </w:rPr>
              <w:br/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2 632 687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2 638 587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2 970 400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3 229 100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5 900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2 638 587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центрів здоров'</w:t>
            </w:r>
            <w:r>
              <w:rPr>
                <w:rFonts w:ascii="Arial" w:eastAsia="Arial" w:hAnsi="Arial" w:cs="Arial"/>
                <w:sz w:val="16"/>
              </w:rPr>
              <w:t>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sz w:val="16"/>
              </w:rPr>
              <w:br/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3 504 174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3 730 135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2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штатних працівників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5300,00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11900,00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11900,00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11950,00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11950,00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6959,26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6959,26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8133,80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8133,80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8888,89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8888,89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712,68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712,68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568,78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568,78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482,76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482,76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виконання робіт з капітального ремонту спортивних клубів ЦФЗН "Спорт для всіх</w:t>
            </w:r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фізкультурно-масових заходів, які здійснюються  безпосередньо ЦФЗН "Спорт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554EA" w:rsidRDefault="00C554E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для всіх" 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штатних працівників ЦФЗН "Спорт для всіх"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12050,00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12050,00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9733,33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9733,33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10395,20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10395,20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487,18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487,18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491,53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491,53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фізкультурно- масових заходів, які здійснюються  безпосередньо ЦФЗН "</w:t>
            </w:r>
            <w:r>
              <w:rPr>
                <w:rFonts w:ascii="Arial" w:eastAsia="Arial" w:hAnsi="Arial" w:cs="Arial"/>
                <w:sz w:val="16"/>
              </w:rPr>
              <w:t>Спорт для всіх",  порівняно з минулим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933 160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1 175 500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1 470 600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1 612 900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1 722 478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525 666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514 400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376 800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409 400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437 326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44 319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67 000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72 600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80 100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85 559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1 503 145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1 756 900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1 920 000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2 102 400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2 245 363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працівники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2 916 361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2 916 361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3 229 100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3 229 100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</w:t>
            </w:r>
            <w:r>
              <w:rPr>
                <w:rFonts w:ascii="Arial" w:eastAsia="Arial" w:hAnsi="Arial" w:cs="Arial"/>
                <w:sz w:val="16"/>
              </w:rPr>
              <w:t>Молодь Коростенської міської територіальної громади" на 2021-2025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земельних відносин у Коростенській міській територіальній  громаді на 2017-2021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№504 від 22.12.2016р.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24 039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24 039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у місті Коростені на 2017-2020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№482 від 22.12.2016р.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2 632 687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2 632 687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3 504 174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3 504 174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3 730 135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3 730 135</w:t>
            </w: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3 504 174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3 730 135</w:t>
            </w: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2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spacing w:after="200"/>
            </w:pPr>
            <w:r>
              <w:t xml:space="preserve">В 2020 році касові видатки становили 2632687,00 грн. В 2021 році затверджено кошторисних асигнувань 2970400,00 грн. Всі завдання виконані. Заборгованість відсутня. В 2022 році передбачаються видатки в сумі 3229100,00 грн., на 2023 рік - 3504174,00 грн. та </w:t>
            </w:r>
            <w:r>
              <w:t>2024 рік - 3730135,00 грн.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1 503 200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1 503 145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1 503 145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330 600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304 742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304 742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280 641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280 641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280 641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256 227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256 227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256 227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229 400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229 400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229 400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6 900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6 900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6 900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43 700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43 700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43 700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7 298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7 298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7 298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360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360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360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274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274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274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2 658 600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</w:t>
            </w:r>
            <w:r>
              <w:rPr>
                <w:sz w:val="16"/>
              </w:rPr>
              <w:t>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1 756 900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1 756 900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1 920 000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1 920 000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383 100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383 100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422 400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422 400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241 000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241 000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140 900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140 900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280 500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280 500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120 600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120 600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233 800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233 800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8 200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8 200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58 400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58 400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2 970 400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3 229 100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4EA" w:rsidRDefault="00006B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</w:t>
            </w:r>
            <w:r>
              <w:rPr>
                <w:sz w:val="16"/>
              </w:rPr>
              <w:t>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1 503 200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1 503 145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330 600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304 742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280 641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280 641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256 227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256 227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229 400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229 400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rPr>
                <w:sz w:val="16"/>
              </w:rPr>
              <w:t>Вжиті заход</w:t>
            </w:r>
            <w:r>
              <w:rPr>
                <w:sz w:val="16"/>
              </w:rPr>
              <w:t>и щодо ліквідації заборгованості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6 900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6 900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43 700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43 700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7 298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7 298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360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360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274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274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C554EA">
            <w:pPr>
              <w:ind w:left="60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2 658 600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2 632 687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554EA" w:rsidRDefault="00006BA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C554EA">
            <w:pPr>
              <w:jc w:val="center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006BA6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4EA" w:rsidRDefault="00006BA6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</w:t>
            </w:r>
            <w:r>
              <w:rPr>
                <w:b/>
              </w:rPr>
              <w:t xml:space="preserve"> фонду, аналіз результатів, досягнутих внаслідок використання коштів спеціального фонду бюджету у 2021 році, та очікувані результати у 2022 році.</w:t>
            </w: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554EA" w:rsidRDefault="00C554EA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r>
              <w:t>Наталія КАРБОВСЬКА</w:t>
            </w: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  <w:tr w:rsidR="00C554E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EA" w:rsidRDefault="00006BA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</w:tcPr>
          <w:p w:rsidR="00C554EA" w:rsidRDefault="00C554E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554EA" w:rsidRDefault="00C554EA">
            <w:pPr>
              <w:pStyle w:val="EMPTYCELLSTYLE"/>
            </w:pPr>
          </w:p>
        </w:tc>
      </w:tr>
    </w:tbl>
    <w:p w:rsidR="00006BA6" w:rsidRDefault="00006BA6"/>
    <w:sectPr w:rsidR="00006BA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554EA"/>
    <w:rsid w:val="00006BA6"/>
    <w:rsid w:val="00C554EA"/>
    <w:rsid w:val="00EB63AE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2022-01-05T13:31:00Z</dcterms:created>
  <dcterms:modified xsi:type="dcterms:W3CDTF">2022-01-05T13:31:00Z</dcterms:modified>
</cp:coreProperties>
</file>