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80"/>
        <w:gridCol w:w="320"/>
        <w:gridCol w:w="160"/>
        <w:gridCol w:w="20"/>
        <w:gridCol w:w="80"/>
        <w:gridCol w:w="240"/>
        <w:gridCol w:w="60"/>
        <w:gridCol w:w="20"/>
        <w:gridCol w:w="420"/>
        <w:gridCol w:w="80"/>
        <w:gridCol w:w="20"/>
        <w:gridCol w:w="60"/>
        <w:gridCol w:w="100"/>
        <w:gridCol w:w="420"/>
        <w:gridCol w:w="20"/>
        <w:gridCol w:w="260"/>
        <w:gridCol w:w="20"/>
        <w:gridCol w:w="100"/>
        <w:gridCol w:w="20"/>
        <w:gridCol w:w="60"/>
        <w:gridCol w:w="40"/>
        <w:gridCol w:w="60"/>
        <w:gridCol w:w="340"/>
        <w:gridCol w:w="180"/>
        <w:gridCol w:w="100"/>
        <w:gridCol w:w="20"/>
        <w:gridCol w:w="180"/>
        <w:gridCol w:w="20"/>
        <w:gridCol w:w="60"/>
        <w:gridCol w:w="10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80"/>
        <w:gridCol w:w="120"/>
        <w:gridCol w:w="280"/>
        <w:gridCol w:w="80"/>
        <w:gridCol w:w="40"/>
        <w:gridCol w:w="300"/>
        <w:gridCol w:w="80"/>
        <w:gridCol w:w="20"/>
        <w:gridCol w:w="80"/>
        <w:gridCol w:w="20"/>
        <w:gridCol w:w="200"/>
        <w:gridCol w:w="80"/>
        <w:gridCol w:w="320"/>
        <w:gridCol w:w="200"/>
        <w:gridCol w:w="60"/>
        <w:gridCol w:w="20"/>
        <w:gridCol w:w="100"/>
        <w:gridCol w:w="20"/>
        <w:gridCol w:w="180"/>
        <w:gridCol w:w="20"/>
        <w:gridCol w:w="100"/>
        <w:gridCol w:w="400"/>
        <w:gridCol w:w="100"/>
        <w:gridCol w:w="80"/>
        <w:gridCol w:w="100"/>
        <w:gridCol w:w="20"/>
        <w:gridCol w:w="80"/>
        <w:gridCol w:w="160"/>
        <w:gridCol w:w="160"/>
        <w:gridCol w:w="80"/>
        <w:gridCol w:w="320"/>
        <w:gridCol w:w="60"/>
        <w:gridCol w:w="20"/>
        <w:gridCol w:w="100"/>
        <w:gridCol w:w="120"/>
        <w:gridCol w:w="400"/>
        <w:gridCol w:w="100"/>
        <w:gridCol w:w="100"/>
        <w:gridCol w:w="100"/>
        <w:gridCol w:w="80"/>
        <w:gridCol w:w="40"/>
        <w:gridCol w:w="8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77385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73853" w:rsidRDefault="00773853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773853" w:rsidRDefault="00773853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773853" w:rsidRDefault="007738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73853" w:rsidRDefault="00773853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773853" w:rsidRDefault="00773853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773853" w:rsidRDefault="007738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3853" w:rsidRDefault="00855084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3853" w:rsidRDefault="00855084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73853" w:rsidRDefault="00855084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73853" w:rsidRDefault="00855084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t>0215012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t>5012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t>0810</w:t>
            </w:r>
          </w:p>
        </w:tc>
        <w:tc>
          <w:tcPr>
            <w:tcW w:w="6520" w:type="dxa"/>
            <w:gridSpan w:val="5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2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73853" w:rsidRDefault="00855084">
            <w:pPr>
              <w:spacing w:after="200"/>
              <w:ind w:left="50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400"/>
            </w:pPr>
            <w:r>
              <w:rPr>
                <w:b/>
              </w:rPr>
              <w:t>2)  завдання бюджетної про</w:t>
            </w:r>
            <w:r>
              <w:rPr>
                <w:b/>
              </w:rPr>
              <w:t>грами;</w:t>
            </w: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773853" w:rsidRDefault="00855084">
            <w:pPr>
              <w:ind w:left="50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44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73853" w:rsidRDefault="00855084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 xml:space="preserve">- </w:t>
            </w:r>
            <w:r>
              <w:t>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</w:t>
            </w:r>
            <w:r>
              <w:t>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міської територіальної громади на 2021 рік" із змінами;</w:t>
            </w:r>
            <w:r>
              <w:br/>
              <w:t xml:space="preserve">- Рішення другої сесії VIIІ скликання Коростенської міської ради від 24.12.2020р. №77 </w:t>
            </w:r>
            <w:r>
              <w:t xml:space="preserve">  "Про затвердження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</w:t>
            </w:r>
            <w:r>
              <w:t>о комітету Коростенської міської ради № 232/21-21 від 05.10.2021р.</w:t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73853" w:rsidRDefault="0077385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173 990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173 990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575 000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575 000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173 990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173 990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575 000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575 000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526 500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526 500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552 826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552 826</w:t>
            </w:r>
          </w:p>
        </w:tc>
        <w:tc>
          <w:tcPr>
            <w:tcW w:w="2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552 826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552 826</w:t>
            </w:r>
          </w:p>
        </w:tc>
        <w:tc>
          <w:tcPr>
            <w:tcW w:w="2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23 750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23 750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25 000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72 740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72 740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31 315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31 315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150 000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150 000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46 185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46 185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50 000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173 990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173 990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575 000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575 000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3853" w:rsidRDefault="00773853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315 900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315 900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331 695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331 695</w:t>
            </w: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157 950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157 950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165 848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165 848</w:t>
            </w: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52 650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52 650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55 283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55 283</w:t>
            </w: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552 826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552 826</w:t>
            </w: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173 990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173 990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575 000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575 000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3853" w:rsidRDefault="00773853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173 990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173 990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575 000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575 000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526 500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552 826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552 826</w:t>
            </w: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552 826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552 826</w:t>
            </w: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773853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773853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773853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міських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обласних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2911,00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2911,00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2911,00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2911,00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2982,00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2982,00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яким призначено стипендії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розпорядження міського голови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спортивного заходу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3827,94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3827,94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7000,00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7000,00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7500,00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7500,00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6613,33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6613,33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84,00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84,00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84,00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84,00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відділу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182,00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182,00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182,00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182,00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3853" w:rsidRDefault="0077385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73853" w:rsidRDefault="0077385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міських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обласних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2983,00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2983,00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2984,00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2984,00</w:t>
            </w: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яким призначено стипендії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розпорядження міського голови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спортивного заходу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8000,00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8000,00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8500,00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8500,00</w:t>
            </w: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16000,00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16000,00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17000,00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17000,00</w:t>
            </w: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відділу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73853" w:rsidRDefault="0077385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73853" w:rsidRDefault="0077385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4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73853" w:rsidRDefault="0077385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20" w:type="dxa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773853" w:rsidRDefault="00773853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773853">
            <w:pPr>
              <w:ind w:right="60"/>
              <w:jc w:val="right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12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№77 від 24.12.2020р.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575 000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575 000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у місті Коростені на 2017-2020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№492 від 22.12.2016р.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173 990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173 990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173 990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173 990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575 000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575 000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№77 від 24.12.2020р.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526 500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526 500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552 825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552 825</w:t>
            </w: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526 500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552 825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552 825</w:t>
            </w: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773853" w:rsidRDefault="00773853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</w:t>
            </w:r>
            <w:r>
              <w:rPr>
                <w:sz w:val="16"/>
              </w:rPr>
              <w:t>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</w:t>
            </w:r>
            <w:r>
              <w:rPr>
                <w:sz w:val="16"/>
              </w:rPr>
              <w:t>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73853" w:rsidRDefault="00855084">
            <w:pPr>
              <w:spacing w:after="200"/>
            </w:pPr>
            <w:r>
              <w:t>В 2021 році затверджено кошторисних асигнувань - 575000,00 грн. Всі завдання виконані. Заборгованість відсутня. В 2022 році передбачаються видатки в  сумі - 500000,00 грн., на 2023 рік - 526500,00 грн., на 2024 рік - 552825,00 грн.</w:t>
            </w: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23 750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23 750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23 750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72 740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72 740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45 000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31 315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31 315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53 440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46 185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46 185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242 190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173 990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173 990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t>2022 рік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73853" w:rsidRDefault="00773853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150 000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150 000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150 000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150 000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575 000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575 000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773853" w:rsidRDefault="00855084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853" w:rsidRDefault="008550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rPr>
                <w:sz w:val="16"/>
              </w:rPr>
              <w:t>Вжиті захо</w:t>
            </w:r>
            <w:r>
              <w:rPr>
                <w:sz w:val="16"/>
              </w:rPr>
              <w:t>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23 750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23 750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left="60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72 740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left="60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45 000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31 315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left="60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53 440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46 185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773853">
            <w:pPr>
              <w:ind w:left="60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242 190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173 990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3853" w:rsidRDefault="008550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773853">
            <w:pPr>
              <w:jc w:val="center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73853" w:rsidRDefault="00855084">
            <w:pPr>
              <w:spacing w:after="200"/>
              <w:ind w:left="400"/>
              <w:jc w:val="both"/>
            </w:pPr>
            <w:r>
              <w:t>На 2022 рік та на наступні 2023-2024 роки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853" w:rsidRDefault="00855084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</w:t>
            </w:r>
            <w:r>
              <w:rPr>
                <w:b/>
              </w:rPr>
              <w:t xml:space="preserve"> фонду, аналіз результатів, досягнутих внаслідок використання коштів спеціального фонду бюджету у 2021 році, та очікувані результати у 2022 році.</w:t>
            </w: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73853" w:rsidRDefault="00773853">
            <w:pPr>
              <w:spacing w:after="200"/>
              <w:jc w:val="both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r>
              <w:t>Володимир МОСКАЛЕНКО</w:t>
            </w: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r>
              <w:t>Наталія КАРБОВСЬКА</w:t>
            </w: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  <w:tr w:rsidR="0077385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853" w:rsidRDefault="00855084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73853" w:rsidRDefault="0077385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73853" w:rsidRDefault="00773853">
            <w:pPr>
              <w:pStyle w:val="EMPTYCELLSTYLE"/>
            </w:pPr>
          </w:p>
        </w:tc>
      </w:tr>
    </w:tbl>
    <w:p w:rsidR="00855084" w:rsidRDefault="00855084"/>
    <w:sectPr w:rsidR="0085508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773853"/>
    <w:rsid w:val="00773853"/>
    <w:rsid w:val="00855084"/>
    <w:rsid w:val="00F0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2022-01-10T12:35:00Z</dcterms:created>
  <dcterms:modified xsi:type="dcterms:W3CDTF">2022-01-10T12:35:00Z</dcterms:modified>
</cp:coreProperties>
</file>