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864A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864A01" w:rsidRDefault="00864A0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864A01" w:rsidRDefault="00864A0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A01" w:rsidRDefault="007570ED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A01" w:rsidRDefault="007570ED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864A01" w:rsidRDefault="007570ED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864A01" w:rsidRDefault="007570ED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0213192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3192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1030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both"/>
            </w:pPr>
            <w:r>
              <w:t>Надання фінансової підтримки громадським об`єднанням  ветеранів і осіб з інвалідністю, діяльність яких має соціальну спрямованість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7570ED">
            <w:pPr>
              <w:spacing w:after="200"/>
              <w:ind w:left="500"/>
            </w:pPr>
            <w:r>
              <w:t>Забезпечення соціального захисту ветеранів війни та праці</w:t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64A01" w:rsidRDefault="007570ED">
            <w:pPr>
              <w:ind w:left="500"/>
            </w:pPr>
            <w:r>
              <w:t>Забезпечення 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44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7570ED">
            <w:pPr>
              <w:ind w:left="500"/>
            </w:pPr>
            <w:r>
              <w:t xml:space="preserve">- Конституція України від 28.06.1996р. №254к/96-ВР із змінами; </w:t>
            </w:r>
            <w:r>
              <w:br/>
              <w:t xml:space="preserve">- Бюджетний кодекс України від 08.07.2010р. № 2456-VІ із змінами; </w:t>
            </w:r>
            <w:r>
              <w:br/>
              <w:t xml:space="preserve">- Закон України  від 14.11.2019р. № 294-IX «Про Державний бюджет України на 2020 рік»; </w:t>
            </w:r>
            <w:r>
              <w:br/>
              <w:t xml:space="preserve">- Закон України від 21.05.1997р. №280/97-ВР «Про місцеве самоврядування в Україні» із змінами; </w:t>
            </w:r>
            <w:r>
              <w:br/>
              <w:t>- За</w:t>
            </w:r>
            <w:r>
              <w:t>кон України від 22.10.1993р. №3551-XII «Про статус ветеранів війни, гарантії їх соціального захисту» із змінами;</w:t>
            </w:r>
            <w:r>
              <w:br/>
              <w:t xml:space="preserve">- Закон України від 24.03.1998р. №203/98-ВР «Про статус ветеранів військової служби, ветеранів органів внутрішніх справ і деяких інших осіб та </w:t>
            </w:r>
            <w:r>
              <w:t xml:space="preserve">їх соціальний захист» із змінами; </w:t>
            </w:r>
            <w:r>
              <w:br/>
              <w:t>- Закон України від 20.12.1991р. №2011-XII «Про соціальний та правовий захист військовослужбовців та членів їх сімей» із змінами;</w:t>
            </w:r>
            <w:r>
              <w:br/>
              <w:t>- Наказ Міністерства фінансів України від 26.08.2014р. №836  «Про деякі питання запроваджен</w:t>
            </w:r>
            <w:r>
              <w:t xml:space="preserve">ня програмно-цільового методу складання та виконання місцевих бюджетів» із змінами; </w:t>
            </w:r>
            <w:r>
              <w:br/>
              <w:t xml:space="preserve">- Рішення тридцять шостої сесії VIІ скликання Коростенської міської ради від 20.12.2019р. №1703 «Про міський бюджет міста Коростеня на 2020 рік»; </w:t>
            </w:r>
            <w:r>
              <w:br/>
              <w:t>- Рішення одинадцятої се</w:t>
            </w:r>
            <w:r>
              <w:t>сії VII скликання Коростенської міської ради від 22.12.2016р. №494 «Про затвердження нової редакції Міської комплексної програми «Турбота» на 2017-2021роки»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</w:t>
            </w:r>
            <w:r>
              <w:t>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2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2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2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2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2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2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одержувачів фінансової підтримки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 установ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фінансової підтримки на одне об’єднання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грн/місяць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6407,92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6407,92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осіб з інвалідністю та ветеранів, які отримають в громадських об’єднаннях допомогу у вирішенні питань, від загальної чисельності, які звернулися за наданням такої допомоги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80" w:type="dxa"/>
          </w:tcPr>
          <w:p w:rsidR="00864A01" w:rsidRDefault="00864A0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Міська комплексна програма "Турбота" на 2017-2021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№494 від 22.12.2016р.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</w:t>
            </w:r>
            <w:r>
              <w:rPr>
                <w:sz w:val="16"/>
              </w:rPr>
              <w:t>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7570ED">
            <w:pPr>
              <w:spacing w:after="200"/>
            </w:pPr>
            <w:r>
              <w:t xml:space="preserve">В 2020 році затверджено кошторисних асигнувань </w:t>
            </w:r>
            <w:r>
              <w:t>- 153800,00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оч</w:t>
            </w:r>
            <w:r>
              <w:rPr>
                <w:sz w:val="16"/>
              </w:rPr>
              <w:t>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right="60"/>
              <w:jc w:val="right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20"/>
        </w:trPr>
        <w:tc>
          <w:tcPr>
            <w:tcW w:w="0" w:type="auto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A01" w:rsidRDefault="007570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153 790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864A01">
            <w:pPr>
              <w:ind w:left="60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153 790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A01" w:rsidRDefault="007570E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864A01">
            <w:pPr>
              <w:jc w:val="center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2022 році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864A01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01" w:rsidRDefault="007570ED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64A01" w:rsidRDefault="00864A01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r>
              <w:t>Наталія КАРБОВСЬКА</w:t>
            </w: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  <w:tr w:rsidR="00864A0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A01" w:rsidRDefault="007570ED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</w:tcPr>
          <w:p w:rsidR="00864A01" w:rsidRDefault="00864A0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864A01" w:rsidRDefault="00864A01">
            <w:pPr>
              <w:pStyle w:val="EMPTYCELLSTYLE"/>
            </w:pPr>
          </w:p>
        </w:tc>
      </w:tr>
    </w:tbl>
    <w:p w:rsidR="007570ED" w:rsidRDefault="007570ED"/>
    <w:sectPr w:rsidR="007570E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64A01"/>
    <w:rsid w:val="001255BF"/>
    <w:rsid w:val="007570ED"/>
    <w:rsid w:val="008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2021-12-22T09:04:00Z</dcterms:created>
  <dcterms:modified xsi:type="dcterms:W3CDTF">2021-12-22T09:04:00Z</dcterms:modified>
</cp:coreProperties>
</file>